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241A9" w14:textId="77777777" w:rsidR="00BA10D5" w:rsidRPr="00B96ADF" w:rsidRDefault="00BA10D5" w:rsidP="00B96ADF">
      <w:pPr>
        <w:spacing w:line="360" w:lineRule="auto"/>
        <w:jc w:val="both"/>
        <w:rPr>
          <w:rFonts w:ascii="Cambria" w:hAnsi="Cambria" w:cstheme="minorHAnsi"/>
          <w:b/>
          <w:bCs/>
          <w:sz w:val="24"/>
          <w:szCs w:val="24"/>
          <w:lang/>
        </w:rPr>
      </w:pPr>
    </w:p>
    <w:p w14:paraId="49321A98" w14:textId="77777777" w:rsidR="00BA10D5" w:rsidRPr="00B96ADF" w:rsidRDefault="00BA10D5" w:rsidP="00B96ADF">
      <w:pPr>
        <w:spacing w:line="360" w:lineRule="auto"/>
        <w:jc w:val="both"/>
        <w:rPr>
          <w:rFonts w:ascii="Cambria" w:hAnsi="Cambria" w:cstheme="minorHAnsi"/>
          <w:b/>
          <w:bCs/>
          <w:sz w:val="24"/>
          <w:szCs w:val="24"/>
          <w:lang/>
        </w:rPr>
      </w:pPr>
    </w:p>
    <w:p w14:paraId="1D496E4B" w14:textId="77777777" w:rsidR="00BA10D5" w:rsidRPr="00B96ADF" w:rsidRDefault="00BA10D5" w:rsidP="00B96ADF">
      <w:pPr>
        <w:spacing w:line="360" w:lineRule="auto"/>
        <w:jc w:val="both"/>
        <w:rPr>
          <w:rFonts w:ascii="Cambria" w:hAnsi="Cambria" w:cstheme="minorHAnsi"/>
          <w:b/>
          <w:bCs/>
          <w:sz w:val="24"/>
          <w:szCs w:val="24"/>
          <w:lang/>
        </w:rPr>
      </w:pPr>
    </w:p>
    <w:p w14:paraId="3F69DE67" w14:textId="77777777" w:rsidR="00BA10D5" w:rsidRPr="00B96ADF" w:rsidRDefault="00BA10D5" w:rsidP="00B96ADF">
      <w:pPr>
        <w:spacing w:line="360" w:lineRule="auto"/>
        <w:jc w:val="center"/>
        <w:rPr>
          <w:rFonts w:ascii="Cambria" w:hAnsi="Cambria" w:cstheme="minorHAnsi"/>
          <w:sz w:val="24"/>
          <w:szCs w:val="24"/>
        </w:rPr>
      </w:pPr>
      <w:r w:rsidRPr="00B96ADF">
        <w:rPr>
          <w:rFonts w:ascii="Cambria" w:hAnsi="Cambria" w:cstheme="minorHAnsi"/>
          <w:b/>
          <w:sz w:val="24"/>
          <w:szCs w:val="24"/>
        </w:rPr>
        <w:t>ALLIANCE DES PEUPLES AUTOCHTONES ET DES COMMUNAUTÉS LOCALES POUR LA CONSERVATION EN AFRIQUE (AICA)</w:t>
      </w:r>
      <w:r w:rsidRPr="00B96ADF">
        <w:rPr>
          <w:rFonts w:ascii="Cambria" w:hAnsi="Cambria" w:cstheme="minorHAnsi"/>
          <w:b/>
          <w:sz w:val="24"/>
          <w:szCs w:val="24"/>
        </w:rPr>
        <w:br/>
      </w:r>
    </w:p>
    <w:p w14:paraId="5B85DA93" w14:textId="77777777" w:rsidR="00BA10D5" w:rsidRPr="00B96ADF" w:rsidRDefault="00BA10D5" w:rsidP="00B96ADF">
      <w:pPr>
        <w:spacing w:line="360" w:lineRule="auto"/>
        <w:jc w:val="center"/>
        <w:rPr>
          <w:rFonts w:ascii="Cambria" w:hAnsi="Cambria" w:cstheme="minorHAnsi"/>
          <w:sz w:val="24"/>
          <w:szCs w:val="24"/>
        </w:rPr>
      </w:pPr>
      <w:r w:rsidRPr="00B96ADF">
        <w:rPr>
          <w:rFonts w:ascii="Cambria" w:hAnsi="Cambria" w:cstheme="minorHAnsi"/>
          <w:b/>
          <w:sz w:val="24"/>
          <w:szCs w:val="24"/>
        </w:rPr>
        <w:t xml:space="preserve">STRATÉGIE DE PLAIDOYER ET D’ENGAGEMENT </w:t>
      </w:r>
      <w:r w:rsidRPr="00B96ADF">
        <w:rPr>
          <w:rFonts w:ascii="Cambria" w:hAnsi="Cambria" w:cstheme="minorHAnsi"/>
          <w:b/>
          <w:sz w:val="24"/>
          <w:szCs w:val="24"/>
        </w:rPr>
        <w:br/>
        <w:t>2026-2030</w:t>
      </w:r>
    </w:p>
    <w:p w14:paraId="391F2C58" w14:textId="77777777" w:rsidR="00BA10D5" w:rsidRPr="00B96ADF" w:rsidRDefault="00BA10D5" w:rsidP="00B96ADF">
      <w:pPr>
        <w:spacing w:line="360" w:lineRule="auto"/>
        <w:jc w:val="center"/>
        <w:rPr>
          <w:rFonts w:ascii="Cambria" w:hAnsi="Cambria" w:cstheme="minorHAnsi"/>
          <w:sz w:val="24"/>
          <w:szCs w:val="24"/>
        </w:rPr>
      </w:pPr>
      <w:r w:rsidRPr="00B96ADF">
        <w:rPr>
          <w:rFonts w:ascii="Cambria" w:hAnsi="Cambria" w:cstheme="minorHAnsi"/>
          <w:i/>
          <w:sz w:val="24"/>
          <w:szCs w:val="24"/>
        </w:rPr>
        <w:br/>
        <w:t>Projet soumis à révision</w:t>
      </w:r>
    </w:p>
    <w:p w14:paraId="7BF4F7DE" w14:textId="77777777" w:rsidR="00BA10D5" w:rsidRPr="00B96ADF" w:rsidRDefault="00BA10D5" w:rsidP="00B96ADF">
      <w:pPr>
        <w:spacing w:line="360" w:lineRule="auto"/>
        <w:jc w:val="center"/>
        <w:rPr>
          <w:rFonts w:ascii="Cambria" w:hAnsi="Cambria" w:cstheme="minorHAnsi"/>
          <w:sz w:val="24"/>
          <w:szCs w:val="24"/>
        </w:rPr>
      </w:pPr>
      <w:r w:rsidRPr="00B96ADF">
        <w:rPr>
          <w:rFonts w:ascii="Cambria" w:hAnsi="Cambria" w:cstheme="minorHAnsi"/>
          <w:sz w:val="24"/>
          <w:szCs w:val="24"/>
        </w:rPr>
        <w:br/>
        <w:t>Juillet 2026</w:t>
      </w:r>
    </w:p>
    <w:p w14:paraId="4C15224E" w14:textId="77777777" w:rsidR="00BA10D5" w:rsidRPr="00B96ADF" w:rsidRDefault="00BA10D5" w:rsidP="00B96ADF">
      <w:pPr>
        <w:spacing w:line="360" w:lineRule="auto"/>
        <w:jc w:val="both"/>
        <w:rPr>
          <w:rFonts w:ascii="Cambria" w:hAnsi="Cambria" w:cstheme="minorHAnsi"/>
          <w:b/>
          <w:bCs/>
          <w:sz w:val="24"/>
          <w:szCs w:val="24"/>
          <w:lang/>
        </w:rPr>
      </w:pPr>
    </w:p>
    <w:p w14:paraId="4A317AC8" w14:textId="77777777" w:rsidR="00BA10D5" w:rsidRPr="00B96ADF" w:rsidRDefault="00BA10D5" w:rsidP="00B96ADF">
      <w:pPr>
        <w:spacing w:line="360" w:lineRule="auto"/>
        <w:jc w:val="both"/>
        <w:rPr>
          <w:rFonts w:ascii="Cambria" w:hAnsi="Cambria" w:cstheme="minorHAnsi"/>
          <w:b/>
          <w:bCs/>
          <w:sz w:val="24"/>
          <w:szCs w:val="24"/>
          <w:lang/>
        </w:rPr>
      </w:pPr>
    </w:p>
    <w:p w14:paraId="2229B4CB" w14:textId="77777777" w:rsidR="00BA10D5" w:rsidRPr="00B96ADF" w:rsidRDefault="00BA10D5" w:rsidP="00B96ADF">
      <w:pPr>
        <w:spacing w:line="360" w:lineRule="auto"/>
        <w:jc w:val="both"/>
        <w:rPr>
          <w:rFonts w:ascii="Cambria" w:hAnsi="Cambria" w:cstheme="minorHAnsi"/>
          <w:b/>
          <w:bCs/>
          <w:sz w:val="24"/>
          <w:szCs w:val="24"/>
          <w:lang/>
        </w:rPr>
      </w:pPr>
    </w:p>
    <w:p w14:paraId="4D853F21" w14:textId="77777777" w:rsidR="00BA10D5" w:rsidRPr="00B96ADF" w:rsidRDefault="00BA10D5" w:rsidP="00B96ADF">
      <w:pPr>
        <w:spacing w:line="360" w:lineRule="auto"/>
        <w:jc w:val="both"/>
        <w:rPr>
          <w:rFonts w:ascii="Cambria" w:hAnsi="Cambria" w:cstheme="minorHAnsi"/>
          <w:b/>
          <w:bCs/>
          <w:sz w:val="24"/>
          <w:szCs w:val="24"/>
          <w:lang/>
        </w:rPr>
      </w:pPr>
    </w:p>
    <w:p w14:paraId="564AE5A1" w14:textId="77777777" w:rsidR="00BA10D5" w:rsidRPr="00B96ADF" w:rsidRDefault="00BA10D5" w:rsidP="00B96ADF">
      <w:pPr>
        <w:spacing w:line="360" w:lineRule="auto"/>
        <w:jc w:val="both"/>
        <w:rPr>
          <w:rFonts w:ascii="Cambria" w:hAnsi="Cambria" w:cstheme="minorHAnsi"/>
          <w:b/>
          <w:bCs/>
          <w:sz w:val="24"/>
          <w:szCs w:val="24"/>
          <w:lang/>
        </w:rPr>
      </w:pPr>
    </w:p>
    <w:p w14:paraId="5EA7E2FA" w14:textId="77777777" w:rsidR="00BA10D5" w:rsidRPr="00B96ADF" w:rsidRDefault="00BA10D5" w:rsidP="00B96ADF">
      <w:pPr>
        <w:spacing w:line="360" w:lineRule="auto"/>
        <w:jc w:val="both"/>
        <w:rPr>
          <w:rFonts w:ascii="Cambria" w:hAnsi="Cambria" w:cstheme="minorHAnsi"/>
          <w:b/>
          <w:bCs/>
          <w:sz w:val="24"/>
          <w:szCs w:val="24"/>
          <w:lang/>
        </w:rPr>
      </w:pPr>
    </w:p>
    <w:p w14:paraId="55736D04" w14:textId="77777777" w:rsidR="00BA10D5" w:rsidRPr="00B96ADF" w:rsidRDefault="00BA10D5" w:rsidP="00B96ADF">
      <w:pPr>
        <w:spacing w:line="360" w:lineRule="auto"/>
        <w:jc w:val="both"/>
        <w:rPr>
          <w:rFonts w:ascii="Cambria" w:hAnsi="Cambria" w:cstheme="minorHAnsi"/>
          <w:b/>
          <w:bCs/>
          <w:sz w:val="24"/>
          <w:szCs w:val="24"/>
          <w:lang/>
        </w:rPr>
      </w:pPr>
    </w:p>
    <w:p w14:paraId="0FBEEF94" w14:textId="77777777" w:rsidR="00BA10D5" w:rsidRPr="00B96ADF" w:rsidRDefault="00BA10D5" w:rsidP="00B96ADF">
      <w:pPr>
        <w:spacing w:line="360" w:lineRule="auto"/>
        <w:jc w:val="both"/>
        <w:rPr>
          <w:rFonts w:ascii="Cambria" w:hAnsi="Cambria" w:cstheme="minorHAnsi"/>
          <w:b/>
          <w:bCs/>
          <w:sz w:val="24"/>
          <w:szCs w:val="24"/>
          <w:lang/>
        </w:rPr>
      </w:pPr>
    </w:p>
    <w:p w14:paraId="47AFC9C4" w14:textId="77777777" w:rsidR="00BA10D5" w:rsidRPr="00B96ADF" w:rsidRDefault="00BA10D5" w:rsidP="00B96ADF">
      <w:pPr>
        <w:spacing w:line="360" w:lineRule="auto"/>
        <w:jc w:val="both"/>
        <w:rPr>
          <w:rFonts w:ascii="Cambria" w:hAnsi="Cambria" w:cstheme="minorHAnsi"/>
          <w:b/>
          <w:bCs/>
          <w:sz w:val="24"/>
          <w:szCs w:val="24"/>
          <w:lang/>
        </w:rPr>
      </w:pPr>
    </w:p>
    <w:p w14:paraId="69222C9F" w14:textId="77777777" w:rsidR="00BA10D5" w:rsidRPr="00B96ADF" w:rsidRDefault="00BA10D5" w:rsidP="00B96ADF">
      <w:pPr>
        <w:spacing w:line="360" w:lineRule="auto"/>
        <w:jc w:val="both"/>
        <w:rPr>
          <w:rFonts w:ascii="Cambria" w:hAnsi="Cambria" w:cstheme="minorHAnsi"/>
          <w:b/>
          <w:bCs/>
          <w:sz w:val="24"/>
          <w:szCs w:val="24"/>
          <w:lang/>
        </w:rPr>
      </w:pPr>
    </w:p>
    <w:p w14:paraId="086051FA" w14:textId="77777777" w:rsidR="00BA10D5" w:rsidRPr="00B96ADF" w:rsidRDefault="00BA10D5" w:rsidP="00B96ADF">
      <w:pPr>
        <w:spacing w:line="360" w:lineRule="auto"/>
        <w:jc w:val="both"/>
        <w:rPr>
          <w:rFonts w:ascii="Cambria" w:hAnsi="Cambria" w:cstheme="minorHAnsi"/>
          <w:b/>
          <w:bCs/>
          <w:sz w:val="24"/>
          <w:szCs w:val="24"/>
          <w:lang/>
        </w:rPr>
      </w:pPr>
    </w:p>
    <w:p w14:paraId="0C9E146C" w14:textId="77777777" w:rsidR="00BA10D5" w:rsidRPr="00B96ADF" w:rsidRDefault="00BA10D5" w:rsidP="00B96ADF">
      <w:pPr>
        <w:spacing w:line="360" w:lineRule="auto"/>
        <w:jc w:val="both"/>
        <w:rPr>
          <w:rFonts w:ascii="Cambria" w:hAnsi="Cambria" w:cstheme="minorHAnsi"/>
          <w:b/>
          <w:bCs/>
          <w:sz w:val="24"/>
          <w:szCs w:val="24"/>
          <w:lang/>
        </w:rPr>
      </w:pPr>
    </w:p>
    <w:p w14:paraId="498C4956" w14:textId="77777777" w:rsidR="00BA10D5" w:rsidRPr="00B96ADF" w:rsidRDefault="00BA10D5" w:rsidP="00B96ADF">
      <w:pPr>
        <w:spacing w:line="360" w:lineRule="auto"/>
        <w:jc w:val="both"/>
        <w:rPr>
          <w:rFonts w:ascii="Cambria" w:hAnsi="Cambria" w:cstheme="minorHAnsi"/>
          <w:b/>
          <w:bCs/>
          <w:sz w:val="24"/>
          <w:szCs w:val="24"/>
          <w:lang/>
        </w:rPr>
      </w:pPr>
    </w:p>
    <w:p w14:paraId="0F8D19C4" w14:textId="77777777" w:rsidR="00BA10D5" w:rsidRPr="00B96ADF" w:rsidRDefault="00BA10D5" w:rsidP="00B96ADF">
      <w:pPr>
        <w:spacing w:line="360" w:lineRule="auto"/>
        <w:jc w:val="both"/>
        <w:rPr>
          <w:rFonts w:ascii="Cambria" w:hAnsi="Cambria" w:cstheme="minorHAnsi"/>
          <w:b/>
          <w:bCs/>
          <w:sz w:val="24"/>
          <w:szCs w:val="24"/>
          <w:lang/>
        </w:rPr>
      </w:pPr>
    </w:p>
    <w:p w14:paraId="42DCF2EA" w14:textId="77777777" w:rsidR="00BA10D5" w:rsidRPr="00B96ADF" w:rsidRDefault="00BA10D5" w:rsidP="00B96ADF">
      <w:pPr>
        <w:spacing w:line="360" w:lineRule="auto"/>
        <w:jc w:val="both"/>
        <w:rPr>
          <w:rFonts w:ascii="Cambria" w:hAnsi="Cambria" w:cstheme="minorHAnsi"/>
          <w:b/>
          <w:bCs/>
          <w:sz w:val="24"/>
          <w:szCs w:val="24"/>
          <w:lang/>
        </w:rPr>
      </w:pPr>
    </w:p>
    <w:sdt>
      <w:sdtPr>
        <w:rPr>
          <w:rFonts w:ascii="Cambria" w:eastAsiaTheme="minorHAnsi" w:hAnsi="Cambria" w:cstheme="minorBidi"/>
          <w:color w:val="auto"/>
          <w:kern w:val="2"/>
          <w:sz w:val="24"/>
          <w:szCs w:val="24"/>
          <w14:ligatures w14:val="standardContextual"/>
        </w:rPr>
        <w:id w:val="-245653475"/>
        <w:docPartObj>
          <w:docPartGallery w:val="Table of Contents"/>
          <w:docPartUnique/>
        </w:docPartObj>
      </w:sdtPr>
      <w:sdtEndPr>
        <w:rPr>
          <w:b/>
          <w:bCs/>
          <w:noProof/>
          <w:lang/>
        </w:rPr>
      </w:sdtEndPr>
      <w:sdtContent>
        <w:p w14:paraId="1085FF5B" w14:textId="0A1592D2" w:rsidR="00BA10D5" w:rsidRPr="00B96ADF" w:rsidRDefault="00BA10D5" w:rsidP="00B96ADF">
          <w:pPr>
            <w:pStyle w:val="En-ttedetabledesmatires"/>
            <w:spacing w:line="360" w:lineRule="auto"/>
            <w:jc w:val="center"/>
            <w:rPr>
              <w:rFonts w:ascii="Cambria" w:hAnsi="Cambria" w:cs="Times New Roman"/>
              <w:b/>
              <w:sz w:val="24"/>
              <w:szCs w:val="24"/>
            </w:rPr>
          </w:pPr>
          <w:r w:rsidRPr="00B96ADF">
            <w:rPr>
              <w:rFonts w:ascii="Cambria" w:hAnsi="Cambria" w:cs="Times New Roman"/>
              <w:b/>
              <w:sz w:val="24"/>
              <w:szCs w:val="24"/>
            </w:rPr>
            <w:t>Table des matières</w:t>
          </w:r>
        </w:p>
        <w:p w14:paraId="651A8368" w14:textId="4CA5D497" w:rsidR="0012017E" w:rsidRPr="00B96ADF" w:rsidRDefault="00BA10D5" w:rsidP="00B96ADF">
          <w:pPr>
            <w:pStyle w:val="TM1"/>
            <w:tabs>
              <w:tab w:val="right" w:leader="dot" w:pos="9016"/>
            </w:tabs>
            <w:spacing w:line="360" w:lineRule="auto"/>
            <w:rPr>
              <w:rFonts w:ascii="Cambria" w:eastAsiaTheme="minorEastAsia" w:hAnsi="Cambria"/>
              <w:noProof/>
              <w:sz w:val="24"/>
              <w:szCs w:val="24"/>
              <w:lang/>
            </w:rPr>
          </w:pPr>
          <w:r w:rsidRPr="00B96ADF">
            <w:rPr>
              <w:rFonts w:ascii="Cambria" w:hAnsi="Cambria"/>
              <w:sz w:val="24"/>
              <w:szCs w:val="24"/>
            </w:rPr>
            <w:fldChar w:fldCharType="begin"/>
          </w:r>
          <w:r w:rsidRPr="00B96ADF">
            <w:rPr>
              <w:rFonts w:ascii="Cambria" w:hAnsi="Cambria"/>
              <w:sz w:val="24"/>
              <w:szCs w:val="24"/>
            </w:rPr>
            <w:instrText xml:space="preserve"> TOC \o "1-3" \h \z \u </w:instrText>
          </w:r>
          <w:r w:rsidRPr="00B96ADF">
            <w:rPr>
              <w:rFonts w:ascii="Cambria" w:hAnsi="Cambria"/>
              <w:sz w:val="24"/>
              <w:szCs w:val="24"/>
            </w:rPr>
            <w:fldChar w:fldCharType="separate"/>
          </w:r>
          <w:hyperlink w:anchor="_Toc234795826" w:history="1">
            <w:r w:rsidR="0012017E" w:rsidRPr="00B96ADF">
              <w:rPr>
                <w:rStyle w:val="Lienhypertexte"/>
                <w:rFonts w:ascii="Cambria" w:hAnsi="Cambria" w:cstheme="minorHAnsi"/>
                <w:b/>
                <w:bCs/>
                <w:noProof/>
                <w:sz w:val="24"/>
                <w:szCs w:val="24"/>
                <w:lang/>
              </w:rPr>
              <w:t xml:space="preserve">1. Introduction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_Toc234795826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00B96ADF" w:rsidRPr="00B96ADF">
            <w:rPr>
              <w:rFonts w:ascii="Cambria" w:hAnsi="Cambria"/>
              <w:noProof/>
              <w:webHidden/>
              <w:sz w:val="24"/>
              <w:szCs w:val="24"/>
            </w:rPr>
            <w:t>3</w:t>
          </w:r>
          <w:r w:rsidR="0012017E" w:rsidRPr="00B96ADF">
            <w:rPr>
              <w:rFonts w:ascii="Cambria" w:hAnsi="Cambria"/>
              <w:noProof/>
              <w:webHidden/>
              <w:sz w:val="24"/>
              <w:szCs w:val="24"/>
            </w:rPr>
            <w:fldChar w:fldCharType="end"/>
          </w:r>
        </w:p>
        <w:p w14:paraId="45301515" w14:textId="106F1392"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27" w:history="1">
            <w:r w:rsidR="0012017E" w:rsidRPr="00B96ADF">
              <w:rPr>
                <w:rStyle w:val="Lienhypertexte"/>
                <w:rFonts w:ascii="Cambria" w:hAnsi="Cambria" w:cstheme="minorHAnsi"/>
                <w:b/>
                <w:bCs/>
                <w:noProof/>
                <w:sz w:val="24"/>
                <w:szCs w:val="24"/>
                <w:lang/>
              </w:rPr>
              <w:t xml:space="preserve">1.2 Objectif et portée de la stratégie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_Toc234795827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4</w:t>
          </w:r>
          <w:r w:rsidR="0012017E" w:rsidRPr="00B96ADF">
            <w:rPr>
              <w:rFonts w:ascii="Cambria" w:hAnsi="Cambria"/>
              <w:noProof/>
              <w:webHidden/>
              <w:sz w:val="24"/>
              <w:szCs w:val="24"/>
            </w:rPr>
            <w:fldChar w:fldCharType="end"/>
          </w:r>
        </w:p>
        <w:p w14:paraId="60A59A79" w14:textId="3A3D4D72"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28" w:history="1">
            <w:r w:rsidR="0012017E" w:rsidRPr="00B96ADF">
              <w:rPr>
                <w:rStyle w:val="Lienhypertexte"/>
                <w:rFonts w:ascii="Cambria" w:hAnsi="Cambria" w:cstheme="minorHAnsi"/>
                <w:b/>
                <w:bCs/>
                <w:noProof/>
                <w:sz w:val="24"/>
                <w:szCs w:val="24"/>
                <w:lang/>
              </w:rPr>
              <w:t xml:space="preserve">1.3 Principes directeurs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_Toc234795828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6</w:t>
          </w:r>
          <w:r w:rsidR="0012017E" w:rsidRPr="00B96ADF">
            <w:rPr>
              <w:rFonts w:ascii="Cambria" w:hAnsi="Cambria"/>
              <w:noProof/>
              <w:webHidden/>
              <w:sz w:val="24"/>
              <w:szCs w:val="24"/>
            </w:rPr>
            <w:fldChar w:fldCharType="end"/>
          </w:r>
        </w:p>
        <w:p w14:paraId="4C23F79C" w14:textId="123424DF"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29" w:history="1">
            <w:r w:rsidR="0012017E" w:rsidRPr="00B96ADF">
              <w:rPr>
                <w:rStyle w:val="Lienhypertexte"/>
                <w:rFonts w:ascii="Cambria" w:hAnsi="Cambria" w:cstheme="minorHAnsi"/>
                <w:b/>
                <w:bCs/>
                <w:noProof/>
                <w:sz w:val="24"/>
                <w:szCs w:val="24"/>
                <w:lang/>
              </w:rPr>
              <w:t xml:space="preserve">2. Analyse situationnelle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_Toc234795829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8</w:t>
          </w:r>
          <w:r w:rsidR="0012017E" w:rsidRPr="00B96ADF">
            <w:rPr>
              <w:rFonts w:ascii="Cambria" w:hAnsi="Cambria"/>
              <w:noProof/>
              <w:webHidden/>
              <w:sz w:val="24"/>
              <w:szCs w:val="24"/>
            </w:rPr>
            <w:fldChar w:fldCharType="end"/>
          </w:r>
        </w:p>
        <w:p w14:paraId="1ADF0BD8" w14:textId="3C69D4BE"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0" w:history="1">
            <w:r w:rsidR="0012017E" w:rsidRPr="00B96ADF">
              <w:rPr>
                <w:rStyle w:val="Lienhypertexte"/>
                <w:rFonts w:ascii="Cambria" w:hAnsi="Cambria" w:cstheme="minorHAnsi"/>
                <w:b/>
                <w:bCs/>
                <w:noProof/>
                <w:sz w:val="24"/>
                <w:szCs w:val="24"/>
                <w:lang/>
              </w:rPr>
              <w:t xml:space="preserve">2.1 Contexte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_Toc234795830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8</w:t>
          </w:r>
          <w:r w:rsidR="0012017E" w:rsidRPr="00B96ADF">
            <w:rPr>
              <w:rFonts w:ascii="Cambria" w:hAnsi="Cambria"/>
              <w:noProof/>
              <w:webHidden/>
              <w:sz w:val="24"/>
              <w:szCs w:val="24"/>
            </w:rPr>
            <w:fldChar w:fldCharType="end"/>
          </w:r>
        </w:p>
        <w:p w14:paraId="79D60DB8" w14:textId="512333D6"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1" w:history="1">
            <w:r w:rsidR="0012017E" w:rsidRPr="00B96ADF">
              <w:rPr>
                <w:rStyle w:val="Lienhypertexte"/>
                <w:rFonts w:ascii="Cambria" w:hAnsi="Cambria" w:cstheme="minorHAnsi"/>
                <w:b/>
                <w:bCs/>
                <w:noProof/>
                <w:sz w:val="24"/>
                <w:szCs w:val="24"/>
                <w:lang/>
              </w:rPr>
              <w:t xml:space="preserve">2.2 Principaux défis touchant les peuples autochtones et les communautés locales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_Toc234795831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9</w:t>
          </w:r>
          <w:r w:rsidR="0012017E" w:rsidRPr="00B96ADF">
            <w:rPr>
              <w:rFonts w:ascii="Cambria" w:hAnsi="Cambria"/>
              <w:noProof/>
              <w:webHidden/>
              <w:sz w:val="24"/>
              <w:szCs w:val="24"/>
            </w:rPr>
            <w:fldChar w:fldCharType="end"/>
          </w:r>
        </w:p>
        <w:p w14:paraId="23D94B26" w14:textId="62CC1400"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2" w:history="1">
            <w:r w:rsidR="0012017E" w:rsidRPr="00B96ADF">
              <w:rPr>
                <w:rStyle w:val="Lienhypertexte"/>
                <w:rFonts w:ascii="Cambria" w:hAnsi="Cambria" w:cstheme="minorHAnsi"/>
                <w:b/>
                <w:bCs/>
                <w:noProof/>
                <w:sz w:val="24"/>
                <w:szCs w:val="24"/>
                <w:lang/>
              </w:rPr>
              <w:t xml:space="preserve">2.3 Opportunités émergentes et points d'entrée stratégiques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_Toc234795832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11</w:t>
          </w:r>
          <w:r w:rsidR="0012017E" w:rsidRPr="00B96ADF">
            <w:rPr>
              <w:rFonts w:ascii="Cambria" w:hAnsi="Cambria"/>
              <w:noProof/>
              <w:webHidden/>
              <w:sz w:val="24"/>
              <w:szCs w:val="24"/>
            </w:rPr>
            <w:fldChar w:fldCharType="end"/>
          </w:r>
        </w:p>
        <w:p w14:paraId="6224BBA8" w14:textId="31532C58"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3" w:history="1">
            <w:r w:rsidR="0012017E" w:rsidRPr="00B96ADF">
              <w:rPr>
                <w:rStyle w:val="Lienhypertexte"/>
                <w:rFonts w:ascii="Cambria" w:hAnsi="Cambria" w:cstheme="minorHAnsi"/>
                <w:b/>
                <w:bCs/>
                <w:noProof/>
                <w:sz w:val="24"/>
                <w:szCs w:val="24"/>
                <w:lang/>
              </w:rPr>
              <w:t xml:space="preserve">2.4 Analyse des parties prenantes et de l'économie politique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_Toc234795833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14</w:t>
          </w:r>
          <w:r w:rsidR="0012017E" w:rsidRPr="00B96ADF">
            <w:rPr>
              <w:rFonts w:ascii="Cambria" w:hAnsi="Cambria"/>
              <w:noProof/>
              <w:webHidden/>
              <w:sz w:val="24"/>
              <w:szCs w:val="24"/>
            </w:rPr>
            <w:fldChar w:fldCharType="end"/>
          </w:r>
        </w:p>
        <w:p w14:paraId="3640077B" w14:textId="5C0097D1"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34" w:history="1">
            <w:r w:rsidR="0012017E" w:rsidRPr="00B96ADF">
              <w:rPr>
                <w:rStyle w:val="Lienhypertexte"/>
                <w:rFonts w:ascii="Cambria" w:hAnsi="Cambria" w:cstheme="minorHAnsi"/>
                <w:b/>
                <w:bCs/>
                <w:noProof/>
                <w:sz w:val="24"/>
                <w:szCs w:val="24"/>
                <w:lang/>
              </w:rPr>
              <w:t xml:space="preserve">3.0 Mission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_Toc234795834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17</w:t>
          </w:r>
          <w:r w:rsidR="0012017E" w:rsidRPr="00B96ADF">
            <w:rPr>
              <w:rFonts w:ascii="Cambria" w:hAnsi="Cambria"/>
              <w:noProof/>
              <w:webHidden/>
              <w:sz w:val="24"/>
              <w:szCs w:val="24"/>
            </w:rPr>
            <w:fldChar w:fldCharType="end"/>
          </w:r>
        </w:p>
        <w:p w14:paraId="516BBF4B" w14:textId="2A8EBF38"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5" w:history="1">
            <w:r w:rsidR="0012017E" w:rsidRPr="00B96ADF">
              <w:rPr>
                <w:rStyle w:val="Lienhypertexte"/>
                <w:rFonts w:ascii="Cambria" w:hAnsi="Cambria" w:cstheme="minorHAnsi"/>
                <w:b/>
                <w:bCs/>
                <w:noProof/>
                <w:sz w:val="24"/>
                <w:szCs w:val="24"/>
                <w:lang/>
              </w:rPr>
              <w:t xml:space="preserve">3.1 Avantage comparatif de l'AICA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_Toc234795835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17</w:t>
          </w:r>
          <w:r w:rsidR="0012017E" w:rsidRPr="00B96ADF">
            <w:rPr>
              <w:rFonts w:ascii="Cambria" w:hAnsi="Cambria"/>
              <w:noProof/>
              <w:webHidden/>
              <w:sz w:val="24"/>
              <w:szCs w:val="24"/>
            </w:rPr>
            <w:fldChar w:fldCharType="end"/>
          </w:r>
        </w:p>
        <w:p w14:paraId="2D967045" w14:textId="5A2678E7"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6" w:history="1">
            <w:r w:rsidR="0012017E" w:rsidRPr="00B96ADF">
              <w:rPr>
                <w:rStyle w:val="Lienhypertexte"/>
                <w:rFonts w:ascii="Cambria" w:hAnsi="Cambria" w:cstheme="minorHAnsi"/>
                <w:b/>
                <w:bCs/>
                <w:noProof/>
                <w:sz w:val="24"/>
                <w:szCs w:val="24"/>
                <w:lang/>
              </w:rPr>
              <w:t xml:space="preserve">3.2 Positionnement stratégique de l'AICA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_Toc234795836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18</w:t>
          </w:r>
          <w:r w:rsidR="0012017E" w:rsidRPr="00B96ADF">
            <w:rPr>
              <w:rFonts w:ascii="Cambria" w:hAnsi="Cambria"/>
              <w:noProof/>
              <w:webHidden/>
              <w:sz w:val="24"/>
              <w:szCs w:val="24"/>
            </w:rPr>
            <w:fldChar w:fldCharType="end"/>
          </w:r>
        </w:p>
        <w:p w14:paraId="7F5DE09A" w14:textId="69BA80DD"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7" w:history="1">
            <w:r w:rsidR="0012017E" w:rsidRPr="00B96ADF">
              <w:rPr>
                <w:rStyle w:val="Lienhypertexte"/>
                <w:rFonts w:ascii="Cambria" w:hAnsi="Cambria" w:cstheme="minorHAnsi"/>
                <w:b/>
                <w:bCs/>
                <w:noProof/>
                <w:sz w:val="24"/>
                <w:szCs w:val="24"/>
                <w:lang/>
              </w:rPr>
              <w:t xml:space="preserve">3.3 Théorie du changement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_Toc234795837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18</w:t>
          </w:r>
          <w:r w:rsidR="0012017E" w:rsidRPr="00B96ADF">
            <w:rPr>
              <w:rFonts w:ascii="Cambria" w:hAnsi="Cambria"/>
              <w:noProof/>
              <w:webHidden/>
              <w:sz w:val="24"/>
              <w:szCs w:val="24"/>
            </w:rPr>
            <w:fldChar w:fldCharType="end"/>
          </w:r>
        </w:p>
        <w:p w14:paraId="4F7E7678" w14:textId="5A5CCE3D"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38" w:history="1">
            <w:r w:rsidR="0012017E" w:rsidRPr="00B96ADF">
              <w:rPr>
                <w:rStyle w:val="Lienhypertexte"/>
                <w:rFonts w:ascii="Cambria" w:hAnsi="Cambria" w:cstheme="minorHAnsi"/>
                <w:b/>
                <w:bCs/>
                <w:noProof/>
                <w:sz w:val="24"/>
                <w:szCs w:val="24"/>
                <w:lang/>
              </w:rPr>
              <w:t xml:space="preserve">4. But et objectifs stratégiques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_Toc234795838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21</w:t>
          </w:r>
          <w:r w:rsidR="0012017E" w:rsidRPr="00B96ADF">
            <w:rPr>
              <w:rFonts w:ascii="Cambria" w:hAnsi="Cambria"/>
              <w:noProof/>
              <w:webHidden/>
              <w:sz w:val="24"/>
              <w:szCs w:val="24"/>
            </w:rPr>
            <w:fldChar w:fldCharType="end"/>
          </w:r>
        </w:p>
        <w:p w14:paraId="4193C39E" w14:textId="3196AD03"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39" w:history="1">
            <w:r w:rsidR="0012017E" w:rsidRPr="00B96ADF">
              <w:rPr>
                <w:rStyle w:val="Lienhypertexte"/>
                <w:rFonts w:ascii="Cambria" w:hAnsi="Cambria" w:cstheme="minorHAnsi"/>
                <w:b/>
                <w:bCs/>
                <w:noProof/>
                <w:sz w:val="24"/>
                <w:szCs w:val="24"/>
                <w:lang/>
              </w:rPr>
              <w:t xml:space="preserve">4.1 Objectif stratégique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_Toc234795839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21</w:t>
          </w:r>
          <w:r w:rsidR="0012017E" w:rsidRPr="00B96ADF">
            <w:rPr>
              <w:rFonts w:ascii="Cambria" w:hAnsi="Cambria"/>
              <w:noProof/>
              <w:webHidden/>
              <w:sz w:val="24"/>
              <w:szCs w:val="24"/>
            </w:rPr>
            <w:fldChar w:fldCharType="end"/>
          </w:r>
        </w:p>
        <w:p w14:paraId="5CC45F0F" w14:textId="3EB5F264"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0" w:history="1">
            <w:r w:rsidR="0012017E" w:rsidRPr="00B96ADF">
              <w:rPr>
                <w:rStyle w:val="Lienhypertexte"/>
                <w:rFonts w:ascii="Cambria" w:hAnsi="Cambria" w:cstheme="minorHAnsi"/>
                <w:b/>
                <w:bCs/>
                <w:noProof/>
                <w:sz w:val="24"/>
                <w:szCs w:val="24"/>
                <w:lang/>
              </w:rPr>
              <w:t xml:space="preserve">4.2 Objectifs stratégiques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_Toc234795840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21</w:t>
          </w:r>
          <w:r w:rsidR="0012017E" w:rsidRPr="00B96ADF">
            <w:rPr>
              <w:rFonts w:ascii="Cambria" w:hAnsi="Cambria"/>
              <w:noProof/>
              <w:webHidden/>
              <w:sz w:val="24"/>
              <w:szCs w:val="24"/>
            </w:rPr>
            <w:fldChar w:fldCharType="end"/>
          </w:r>
        </w:p>
        <w:p w14:paraId="747FBA68" w14:textId="2122D651"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1" w:history="1">
            <w:r w:rsidR="0012017E" w:rsidRPr="00B96ADF">
              <w:rPr>
                <w:rStyle w:val="Lienhypertexte"/>
                <w:rFonts w:ascii="Cambria" w:hAnsi="Cambria" w:cstheme="minorHAnsi"/>
                <w:b/>
                <w:bCs/>
                <w:noProof/>
                <w:sz w:val="24"/>
                <w:szCs w:val="24"/>
                <w:lang/>
              </w:rPr>
              <w:t xml:space="preserve">4.3 Résultats stratégiques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_Toc234795841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23</w:t>
          </w:r>
          <w:r w:rsidR="0012017E" w:rsidRPr="00B96ADF">
            <w:rPr>
              <w:rFonts w:ascii="Cambria" w:hAnsi="Cambria"/>
              <w:noProof/>
              <w:webHidden/>
              <w:sz w:val="24"/>
              <w:szCs w:val="24"/>
            </w:rPr>
            <w:fldChar w:fldCharType="end"/>
          </w:r>
        </w:p>
        <w:p w14:paraId="631F2090" w14:textId="37EC6792"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42" w:history="1">
            <w:r w:rsidR="0012017E" w:rsidRPr="00B96ADF">
              <w:rPr>
                <w:rStyle w:val="Lienhypertexte"/>
                <w:rFonts w:ascii="Cambria" w:hAnsi="Cambria" w:cstheme="minorHAnsi"/>
                <w:b/>
                <w:bCs/>
                <w:noProof/>
                <w:sz w:val="24"/>
                <w:szCs w:val="24"/>
                <w:lang/>
              </w:rPr>
              <w:t xml:space="preserve">5. Piliers stratégiques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_Toc234795842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23</w:t>
          </w:r>
          <w:r w:rsidR="0012017E" w:rsidRPr="00B96ADF">
            <w:rPr>
              <w:rFonts w:ascii="Cambria" w:hAnsi="Cambria"/>
              <w:noProof/>
              <w:webHidden/>
              <w:sz w:val="24"/>
              <w:szCs w:val="24"/>
            </w:rPr>
            <w:fldChar w:fldCharType="end"/>
          </w:r>
        </w:p>
        <w:p w14:paraId="3C312D06" w14:textId="3C7DF20C"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43" w:history="1">
            <w:r w:rsidR="0012017E" w:rsidRPr="00B96ADF">
              <w:rPr>
                <w:rStyle w:val="Lienhypertexte"/>
                <w:rFonts w:ascii="Cambria" w:hAnsi="Cambria" w:cstheme="minorHAnsi"/>
                <w:b/>
                <w:bCs/>
                <w:noProof/>
                <w:sz w:val="24"/>
                <w:szCs w:val="24"/>
                <w:lang/>
              </w:rPr>
              <w:t xml:space="preserve">6. Stratégie d'engagement des parties prenantes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_Toc234795843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25</w:t>
          </w:r>
          <w:r w:rsidR="0012017E" w:rsidRPr="00B96ADF">
            <w:rPr>
              <w:rFonts w:ascii="Cambria" w:hAnsi="Cambria"/>
              <w:noProof/>
              <w:webHidden/>
              <w:sz w:val="24"/>
              <w:szCs w:val="24"/>
            </w:rPr>
            <w:fldChar w:fldCharType="end"/>
          </w:r>
        </w:p>
        <w:p w14:paraId="45990A8F" w14:textId="3A93C7DE"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4" w:history="1">
            <w:r w:rsidR="0012017E" w:rsidRPr="00B96ADF">
              <w:rPr>
                <w:rStyle w:val="Lienhypertexte"/>
                <w:rFonts w:ascii="Cambria" w:hAnsi="Cambria" w:cstheme="minorHAnsi"/>
                <w:b/>
                <w:bCs/>
                <w:noProof/>
                <w:sz w:val="24"/>
                <w:szCs w:val="24"/>
                <w:lang/>
              </w:rPr>
              <w:t xml:space="preserve">6.1 Introduction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_Toc234795844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25</w:t>
          </w:r>
          <w:r w:rsidR="0012017E" w:rsidRPr="00B96ADF">
            <w:rPr>
              <w:rFonts w:ascii="Cambria" w:hAnsi="Cambria"/>
              <w:noProof/>
              <w:webHidden/>
              <w:sz w:val="24"/>
              <w:szCs w:val="24"/>
            </w:rPr>
            <w:fldChar w:fldCharType="end"/>
          </w:r>
        </w:p>
        <w:p w14:paraId="1B36DF73" w14:textId="50361FBC"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5" w:history="1">
            <w:r w:rsidR="0012017E" w:rsidRPr="00B96ADF">
              <w:rPr>
                <w:rStyle w:val="Lienhypertexte"/>
                <w:rFonts w:ascii="Cambria" w:hAnsi="Cambria" w:cstheme="minorHAnsi"/>
                <w:b/>
                <w:bCs/>
                <w:noProof/>
                <w:sz w:val="24"/>
                <w:szCs w:val="24"/>
                <w:lang/>
              </w:rPr>
              <w:t xml:space="preserve">6.2 Approche d'engagement de l'AICA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_Toc234795845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25</w:t>
          </w:r>
          <w:r w:rsidR="0012017E" w:rsidRPr="00B96ADF">
            <w:rPr>
              <w:rFonts w:ascii="Cambria" w:hAnsi="Cambria"/>
              <w:noProof/>
              <w:webHidden/>
              <w:sz w:val="24"/>
              <w:szCs w:val="24"/>
            </w:rPr>
            <w:fldChar w:fldCharType="end"/>
          </w:r>
        </w:p>
        <w:p w14:paraId="23270DE7" w14:textId="5160CCE5"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46" w:history="1">
            <w:r w:rsidR="0012017E" w:rsidRPr="00B96ADF">
              <w:rPr>
                <w:rStyle w:val="Lienhypertexte"/>
                <w:rFonts w:ascii="Cambria" w:hAnsi="Cambria" w:cstheme="minorHAnsi"/>
                <w:b/>
                <w:bCs/>
                <w:noProof/>
                <w:sz w:val="24"/>
                <w:szCs w:val="24"/>
                <w:lang/>
              </w:rPr>
              <w:t xml:space="preserve">7. Cadre de mise en œuvre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_Toc234795846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26</w:t>
          </w:r>
          <w:r w:rsidR="0012017E" w:rsidRPr="00B96ADF">
            <w:rPr>
              <w:rFonts w:ascii="Cambria" w:hAnsi="Cambria"/>
              <w:noProof/>
              <w:webHidden/>
              <w:sz w:val="24"/>
              <w:szCs w:val="24"/>
            </w:rPr>
            <w:fldChar w:fldCharType="end"/>
          </w:r>
        </w:p>
        <w:p w14:paraId="2C4D2991" w14:textId="7DFA9BD9"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7" w:history="1">
            <w:r w:rsidR="0012017E" w:rsidRPr="00B96ADF">
              <w:rPr>
                <w:rStyle w:val="Lienhypertexte"/>
                <w:rFonts w:ascii="Cambria" w:hAnsi="Cambria" w:cstheme="minorHAnsi"/>
                <w:b/>
                <w:bCs/>
                <w:noProof/>
                <w:sz w:val="24"/>
                <w:szCs w:val="24"/>
                <w:lang/>
              </w:rPr>
              <w:t xml:space="preserve">7.1 Introduction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_Toc234795847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26</w:t>
          </w:r>
          <w:r w:rsidR="0012017E" w:rsidRPr="00B96ADF">
            <w:rPr>
              <w:rFonts w:ascii="Cambria" w:hAnsi="Cambria"/>
              <w:noProof/>
              <w:webHidden/>
              <w:sz w:val="24"/>
              <w:szCs w:val="24"/>
            </w:rPr>
            <w:fldChar w:fldCharType="end"/>
          </w:r>
        </w:p>
        <w:p w14:paraId="27406091" w14:textId="38C1E853"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8" w:history="1">
            <w:r w:rsidR="0012017E" w:rsidRPr="00B96ADF">
              <w:rPr>
                <w:rStyle w:val="Lienhypertexte"/>
                <w:rFonts w:ascii="Cambria" w:hAnsi="Cambria" w:cstheme="minorHAnsi"/>
                <w:b/>
                <w:bCs/>
                <w:noProof/>
                <w:sz w:val="24"/>
                <w:szCs w:val="24"/>
                <w:lang/>
              </w:rPr>
              <w:t xml:space="preserve">7.2 Rôles et responsabilités institutionnels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_Toc234795848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27</w:t>
          </w:r>
          <w:r w:rsidR="0012017E" w:rsidRPr="00B96ADF">
            <w:rPr>
              <w:rFonts w:ascii="Cambria" w:hAnsi="Cambria"/>
              <w:noProof/>
              <w:webHidden/>
              <w:sz w:val="24"/>
              <w:szCs w:val="24"/>
            </w:rPr>
            <w:fldChar w:fldCharType="end"/>
          </w:r>
        </w:p>
        <w:p w14:paraId="6BC559B0" w14:textId="24364F38"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49" w:history="1">
            <w:r w:rsidR="0012017E" w:rsidRPr="00B96ADF">
              <w:rPr>
                <w:rStyle w:val="Lienhypertexte"/>
                <w:rFonts w:ascii="Cambria" w:hAnsi="Cambria" w:cstheme="minorHAnsi"/>
                <w:b/>
                <w:bCs/>
                <w:noProof/>
                <w:sz w:val="24"/>
                <w:szCs w:val="24"/>
                <w:lang/>
              </w:rPr>
              <w:t xml:space="preserve">7.3 Approche de mise en œuvre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_Toc234795849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28</w:t>
          </w:r>
          <w:r w:rsidR="0012017E" w:rsidRPr="00B96ADF">
            <w:rPr>
              <w:rFonts w:ascii="Cambria" w:hAnsi="Cambria"/>
              <w:noProof/>
              <w:webHidden/>
              <w:sz w:val="24"/>
              <w:szCs w:val="24"/>
            </w:rPr>
            <w:fldChar w:fldCharType="end"/>
          </w:r>
        </w:p>
        <w:p w14:paraId="0D0EABED" w14:textId="0C678774"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50" w:history="1">
            <w:r w:rsidR="0012017E" w:rsidRPr="00B96ADF">
              <w:rPr>
                <w:rStyle w:val="Lienhypertexte"/>
                <w:rFonts w:ascii="Cambria" w:hAnsi="Cambria" w:cstheme="minorHAnsi"/>
                <w:b/>
                <w:bCs/>
                <w:noProof/>
                <w:sz w:val="24"/>
                <w:szCs w:val="24"/>
                <w:lang/>
              </w:rPr>
              <w:t xml:space="preserve">7.4 Mobilisation des ressources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_Toc234795850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29</w:t>
          </w:r>
          <w:r w:rsidR="0012017E" w:rsidRPr="00B96ADF">
            <w:rPr>
              <w:rFonts w:ascii="Cambria" w:hAnsi="Cambria"/>
              <w:noProof/>
              <w:webHidden/>
              <w:sz w:val="24"/>
              <w:szCs w:val="24"/>
            </w:rPr>
            <w:fldChar w:fldCharType="end"/>
          </w:r>
        </w:p>
        <w:p w14:paraId="06E667A9" w14:textId="72070924"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51" w:history="1">
            <w:r w:rsidR="0012017E" w:rsidRPr="00B96ADF">
              <w:rPr>
                <w:rStyle w:val="Lienhypertexte"/>
                <w:rFonts w:ascii="Cambria" w:hAnsi="Cambria" w:cstheme="minorHAnsi"/>
                <w:b/>
                <w:bCs/>
                <w:noProof/>
                <w:sz w:val="24"/>
                <w:szCs w:val="24"/>
                <w:lang/>
              </w:rPr>
              <w:t xml:space="preserve">7.5 Planification annuelle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_Toc234795851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29</w:t>
          </w:r>
          <w:r w:rsidR="0012017E" w:rsidRPr="00B96ADF">
            <w:rPr>
              <w:rFonts w:ascii="Cambria" w:hAnsi="Cambria"/>
              <w:noProof/>
              <w:webHidden/>
              <w:sz w:val="24"/>
              <w:szCs w:val="24"/>
            </w:rPr>
            <w:fldChar w:fldCharType="end"/>
          </w:r>
        </w:p>
        <w:p w14:paraId="50237996" w14:textId="125DF52F" w:rsidR="0012017E" w:rsidRPr="00B96ADF" w:rsidRDefault="00B96ADF" w:rsidP="00B96ADF">
          <w:pPr>
            <w:pStyle w:val="TM1"/>
            <w:tabs>
              <w:tab w:val="right" w:leader="dot" w:pos="9016"/>
            </w:tabs>
            <w:spacing w:line="360" w:lineRule="auto"/>
            <w:rPr>
              <w:rFonts w:ascii="Cambria" w:eastAsiaTheme="minorEastAsia" w:hAnsi="Cambria"/>
              <w:noProof/>
              <w:sz w:val="24"/>
              <w:szCs w:val="24"/>
              <w:lang/>
            </w:rPr>
          </w:pPr>
          <w:hyperlink w:anchor="_Toc234795852" w:history="1">
            <w:r w:rsidR="0012017E" w:rsidRPr="00B96ADF">
              <w:rPr>
                <w:rStyle w:val="Lienhypertexte"/>
                <w:rFonts w:ascii="Cambria" w:hAnsi="Cambria" w:cstheme="minorHAnsi"/>
                <w:b/>
                <w:bCs/>
                <w:noProof/>
                <w:sz w:val="24"/>
                <w:szCs w:val="24"/>
                <w:lang/>
              </w:rPr>
              <w:t xml:space="preserve">Conclusion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_Toc234795852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30</w:t>
          </w:r>
          <w:r w:rsidR="0012017E" w:rsidRPr="00B96ADF">
            <w:rPr>
              <w:rFonts w:ascii="Cambria" w:hAnsi="Cambria"/>
              <w:noProof/>
              <w:webHidden/>
              <w:sz w:val="24"/>
              <w:szCs w:val="24"/>
            </w:rPr>
            <w:fldChar w:fldCharType="end"/>
          </w:r>
        </w:p>
        <w:p w14:paraId="7BFC5C5C" w14:textId="45EB94D0" w:rsidR="0012017E" w:rsidRPr="00B96ADF" w:rsidRDefault="00B96ADF" w:rsidP="00B96ADF">
          <w:pPr>
            <w:pStyle w:val="TM2"/>
            <w:tabs>
              <w:tab w:val="right" w:leader="dot" w:pos="9016"/>
            </w:tabs>
            <w:spacing w:line="360" w:lineRule="auto"/>
            <w:rPr>
              <w:rFonts w:ascii="Cambria" w:eastAsiaTheme="minorEastAsia" w:hAnsi="Cambria"/>
              <w:noProof/>
              <w:sz w:val="24"/>
              <w:szCs w:val="24"/>
              <w:lang/>
            </w:rPr>
          </w:pPr>
          <w:hyperlink w:anchor="_Toc234795853" w:history="1">
            <w:r w:rsidR="0012017E" w:rsidRPr="00B96ADF">
              <w:rPr>
                <w:rStyle w:val="Lienhypertexte"/>
                <w:rFonts w:ascii="Cambria" w:hAnsi="Cambria" w:cstheme="minorHAnsi"/>
                <w:b/>
                <w:bCs/>
                <w:noProof/>
                <w:sz w:val="24"/>
                <w:szCs w:val="24"/>
                <w:lang/>
              </w:rPr>
              <w:t xml:space="preserve">Annexes </w:t>
            </w:r>
          </w:hyperlink>
          <w:r w:rsidR="0012017E" w:rsidRPr="00B96ADF">
            <w:rPr>
              <w:rFonts w:ascii="Cambria" w:hAnsi="Cambria"/>
              <w:noProof/>
              <w:webHidden/>
              <w:sz w:val="24"/>
              <w:szCs w:val="24"/>
            </w:rPr>
            <w:tab/>
          </w:r>
          <w:r w:rsidR="0012017E" w:rsidRPr="00B96ADF">
            <w:rPr>
              <w:rFonts w:ascii="Cambria" w:hAnsi="Cambria"/>
              <w:noProof/>
              <w:webHidden/>
              <w:sz w:val="24"/>
              <w:szCs w:val="24"/>
            </w:rPr>
            <w:fldChar w:fldCharType="begin"/>
          </w:r>
          <w:r w:rsidR="0012017E" w:rsidRPr="00B96ADF">
            <w:rPr>
              <w:rFonts w:ascii="Cambria" w:hAnsi="Cambria"/>
              <w:noProof/>
              <w:webHidden/>
              <w:sz w:val="24"/>
              <w:szCs w:val="24"/>
            </w:rPr>
            <w:instrText xml:space="preserve"> PAGEREF _Toc234795853 \h </w:instrText>
          </w:r>
          <w:r w:rsidR="0012017E" w:rsidRPr="00B96ADF">
            <w:rPr>
              <w:rFonts w:ascii="Cambria" w:hAnsi="Cambria"/>
              <w:noProof/>
              <w:webHidden/>
              <w:sz w:val="24"/>
              <w:szCs w:val="24"/>
            </w:rPr>
          </w:r>
          <w:r w:rsidR="0012017E" w:rsidRPr="00B96ADF">
            <w:rPr>
              <w:rFonts w:ascii="Cambria" w:hAnsi="Cambria"/>
              <w:noProof/>
              <w:webHidden/>
              <w:sz w:val="24"/>
              <w:szCs w:val="24"/>
            </w:rPr>
            <w:fldChar w:fldCharType="separate"/>
          </w:r>
          <w:r w:rsidRPr="00B96ADF">
            <w:rPr>
              <w:rFonts w:ascii="Cambria" w:hAnsi="Cambria"/>
              <w:noProof/>
              <w:webHidden/>
              <w:sz w:val="24"/>
              <w:szCs w:val="24"/>
            </w:rPr>
            <w:t>31</w:t>
          </w:r>
          <w:r w:rsidR="0012017E" w:rsidRPr="00B96ADF">
            <w:rPr>
              <w:rFonts w:ascii="Cambria" w:hAnsi="Cambria"/>
              <w:noProof/>
              <w:webHidden/>
              <w:sz w:val="24"/>
              <w:szCs w:val="24"/>
            </w:rPr>
            <w:fldChar w:fldCharType="end"/>
          </w:r>
        </w:p>
        <w:p w14:paraId="7FA208AB" w14:textId="1B7032B4" w:rsidR="00BA10D5" w:rsidRPr="00B96ADF" w:rsidRDefault="00BA10D5" w:rsidP="00B96ADF">
          <w:pPr>
            <w:spacing w:line="360" w:lineRule="auto"/>
            <w:rPr>
              <w:rFonts w:ascii="Cambria" w:hAnsi="Cambria"/>
              <w:sz w:val="24"/>
              <w:szCs w:val="24"/>
            </w:rPr>
          </w:pPr>
          <w:r w:rsidRPr="00B96ADF">
            <w:rPr>
              <w:rFonts w:ascii="Cambria" w:hAnsi="Cambria"/>
              <w:b/>
              <w:bCs/>
              <w:noProof/>
              <w:sz w:val="24"/>
              <w:szCs w:val="24"/>
            </w:rPr>
            <w:fldChar w:fldCharType="end"/>
          </w:r>
        </w:p>
      </w:sdtContent>
    </w:sdt>
    <w:p w14:paraId="44E901CE" w14:textId="77777777" w:rsidR="00BA10D5" w:rsidRPr="00B96ADF" w:rsidRDefault="00BA10D5" w:rsidP="00B96ADF">
      <w:pPr>
        <w:spacing w:line="360" w:lineRule="auto"/>
        <w:jc w:val="both"/>
        <w:rPr>
          <w:rFonts w:ascii="Cambria" w:hAnsi="Cambria" w:cstheme="minorHAnsi"/>
          <w:b/>
          <w:bCs/>
          <w:sz w:val="24"/>
          <w:szCs w:val="24"/>
          <w:lang/>
        </w:rPr>
      </w:pPr>
    </w:p>
    <w:p w14:paraId="597A0353" w14:textId="77777777" w:rsidR="00BA10D5" w:rsidRPr="00B96ADF" w:rsidRDefault="00BA10D5" w:rsidP="00B96ADF">
      <w:pPr>
        <w:spacing w:line="360" w:lineRule="auto"/>
        <w:jc w:val="both"/>
        <w:rPr>
          <w:rFonts w:ascii="Cambria" w:hAnsi="Cambria" w:cstheme="minorHAnsi"/>
          <w:b/>
          <w:bCs/>
          <w:sz w:val="24"/>
          <w:szCs w:val="24"/>
          <w:lang/>
        </w:rPr>
      </w:pPr>
    </w:p>
    <w:p w14:paraId="49831C2F" w14:textId="77777777" w:rsidR="00BA10D5" w:rsidRPr="00B96ADF" w:rsidRDefault="00BA10D5" w:rsidP="00B96ADF">
      <w:pPr>
        <w:spacing w:line="360" w:lineRule="auto"/>
        <w:jc w:val="both"/>
        <w:rPr>
          <w:rFonts w:ascii="Cambria" w:hAnsi="Cambria" w:cstheme="minorHAnsi"/>
          <w:b/>
          <w:bCs/>
          <w:sz w:val="24"/>
          <w:szCs w:val="24"/>
          <w:lang/>
        </w:rPr>
      </w:pPr>
    </w:p>
    <w:p w14:paraId="4AB10BC5" w14:textId="77777777" w:rsidR="00BA10D5" w:rsidRPr="00B96ADF" w:rsidRDefault="00BA10D5" w:rsidP="00B96ADF">
      <w:pPr>
        <w:spacing w:line="360" w:lineRule="auto"/>
        <w:jc w:val="both"/>
        <w:rPr>
          <w:rFonts w:ascii="Cambria" w:hAnsi="Cambria" w:cstheme="minorHAnsi"/>
          <w:b/>
          <w:bCs/>
          <w:sz w:val="24"/>
          <w:szCs w:val="24"/>
          <w:lang/>
        </w:rPr>
      </w:pPr>
    </w:p>
    <w:p w14:paraId="2285317C" w14:textId="77777777" w:rsidR="00BA10D5" w:rsidRPr="00B96ADF" w:rsidRDefault="00BA10D5" w:rsidP="00B96ADF">
      <w:pPr>
        <w:spacing w:line="360" w:lineRule="auto"/>
        <w:jc w:val="both"/>
        <w:rPr>
          <w:rFonts w:ascii="Cambria" w:hAnsi="Cambria" w:cstheme="minorHAnsi"/>
          <w:b/>
          <w:bCs/>
          <w:sz w:val="24"/>
          <w:szCs w:val="24"/>
          <w:lang/>
        </w:rPr>
      </w:pPr>
    </w:p>
    <w:p w14:paraId="7481692D" w14:textId="4F21F734" w:rsidR="00BF36FD" w:rsidRPr="00B96ADF" w:rsidRDefault="00BF36FD" w:rsidP="00B96ADF">
      <w:pPr>
        <w:pStyle w:val="Titre1"/>
        <w:spacing w:line="360" w:lineRule="auto"/>
        <w:rPr>
          <w:rFonts w:ascii="Cambria" w:hAnsi="Cambria" w:cstheme="minorHAnsi"/>
          <w:b/>
          <w:bCs/>
          <w:color w:val="auto"/>
          <w:sz w:val="24"/>
          <w:szCs w:val="24"/>
          <w:lang/>
        </w:rPr>
      </w:pPr>
      <w:bookmarkStart w:id="0" w:name="_Toc234795826"/>
      <w:r w:rsidRPr="00B96ADF">
        <w:rPr>
          <w:rFonts w:ascii="Cambria" w:hAnsi="Cambria" w:cstheme="minorHAnsi"/>
          <w:b/>
          <w:bCs/>
          <w:color w:val="auto"/>
          <w:sz w:val="24"/>
          <w:szCs w:val="24"/>
          <w:lang/>
        </w:rPr>
        <w:t>1. Introduction</w:t>
      </w:r>
      <w:bookmarkEnd w:id="0"/>
    </w:p>
    <w:p w14:paraId="23ACC881"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1.1 Contexte</w:t>
      </w:r>
    </w:p>
    <w:p w14:paraId="3694B8BB"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L’Alliance pour les peuples autochtones et les communautés locales pour la conservation en Afrique (AICA) est une alliance panafricaine créée pour renforcer la voix collective, le leadership et l’influence des peuples autochtones et des communautés locales ( PACL ) dans l’élaboration de politiques de conservation, de gouvernance foncière, d’action climatique et de développement durable à travers l’Afrique. Elle rassemble des organisations autochtones, de</w:t>
      </w:r>
      <w:bookmarkStart w:id="1" w:name="_GoBack"/>
      <w:bookmarkEnd w:id="1"/>
      <w:r w:rsidRPr="00B96ADF">
        <w:rPr>
          <w:rFonts w:ascii="Cambria" w:hAnsi="Cambria" w:cstheme="minorHAnsi"/>
          <w:sz w:val="24"/>
          <w:szCs w:val="24"/>
          <w:lang/>
        </w:rPr>
        <w:t>s institutions communautaires, des chefs traditionnels et des réseaux communautaires locaux afin de promouvoir des approches fondées sur les droits qui reconnaissent les PAC comme gardiens de la biodiversité, des cultures, des systèmes de connaissances et des ressources naturelles de l’Afrique.</w:t>
      </w:r>
    </w:p>
    <w:p w14:paraId="027FBCC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L’AICA a été créée pour combler une lacune persistante en matière de conservation et de gouvernance environnementale. Bien que les peuples autochtones et les communautés locales protègent et gèrent durablement depuis des générations nombre des écosystèmes les plus importants d’Afrique, ils continuent d’être largement exclus des décisions qui affectent leurs terres, leurs territoires et leurs moyens de subsistance. Sur tout le continent, les politiques de conservation ont souvent été conçues et mises en œuvre sans </w:t>
      </w:r>
      <w:r w:rsidRPr="00B96ADF">
        <w:rPr>
          <w:rFonts w:ascii="Cambria" w:hAnsi="Cambria" w:cstheme="minorHAnsi"/>
          <w:sz w:val="24"/>
          <w:szCs w:val="24"/>
          <w:lang/>
        </w:rPr>
        <w:lastRenderedPageBreak/>
        <w:t>une reconnaissance suffisante des systèmes fonciers coutumiers, des institutions de gouvernance traditionnelles ni des savoirs autochtones. Dans de nombreux cas, les aires protégées et les projets de développement à grande échelle ont entraîné des déplacements de population, des restrictions d’accès aux ressources et des violations des droits des communautés.</w:t>
      </w:r>
    </w:p>
    <w:p w14:paraId="797A8FE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Ces défis persistent malgré la reconnaissance mondiale croissante du fait que la conservation de la biodiversité, la résilience climatique et le développement durable ne peuvent être atteints sans la participation et le leadership significatifs des peuples autochtones et des communautés locales. Les engagements internationaux pris dans le cadre de la Déclaration des Nations Unies sur les droits des peuples autochtones (DNUDPA), du Cadre mondial de Kunming-Montréal pour la biodiversité, de l'Accord de Paris, de la Charte africaine des droits de l'homme et des peuples et d'autres instruments régionaux et mondiaux reconnaissent de plus en plus que la garantie des droits des communautés est fondamentale pour atteindre les objectifs environnementaux et de développement. Pourtant, d'importants écarts subsistent entre ces engagements et leur mise en œuvre dans de nombreux pays africains.</w:t>
      </w:r>
    </w:p>
    <w:p w14:paraId="6DF0BC02" w14:textId="1EF0412D"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Dans ce contexte, l'AICA offre une plateforme continentale permettant aux peuples autochtones et aux communautés locales de s'organiser collectivement, de renforcer leur solidarité, d'influencer les politiques publiques, de dialoguer avec les institutions régionales et internationales et de promouvoir des solutions communautaires pour la conservation et le développement durable. L'Alliance s'efforce de garantir que les peuples autochtones et les communautés locales soient reconnus non seulement comme des parties prenantes ou des bénéficiaires, mais aussi comme des détenteurs de droits, de savoirs et de décisions dont le rôle est essentiel à l'avenir environnemental de l'Afrique.</w:t>
      </w:r>
    </w:p>
    <w:p w14:paraId="47699721"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L’élaboration de cette stratégie de plaidoyer et d’engagement constitue une étape importante dans la consolidation du rôle de l’AICA en tant que mouvement continental et plateforme de plaidoyer. Elle répond aux recommandations issues de l’Assemblée générale de l’AICA , des consultations régionales, de l’Appel à l’action de Kigali, du Communiqué de Windhoek et du dialogue permanent entre les membres concernant la nécessité d’un programme de plaidoyer coordonné qui reflète la diversité des priorités des peuples autochtones et des communautés locales à travers l’Afrique. La stratégie s’appuie également sur les priorités de plaidoyer concrètes déjà identifiées par les </w:t>
      </w:r>
      <w:r w:rsidRPr="00B96ADF">
        <w:rPr>
          <w:rFonts w:ascii="Cambria" w:hAnsi="Cambria" w:cstheme="minorHAnsi"/>
          <w:sz w:val="24"/>
          <w:szCs w:val="24"/>
          <w:lang/>
        </w:rPr>
        <w:lastRenderedPageBreak/>
        <w:t>membres, notamment un engagement renforcé auprès des institutions de l’Union africaine, des mécanismes des Nations Unies, des organisations de conservation, des institutions financières internationales et des partenaires au développement.</w:t>
      </w:r>
    </w:p>
    <w:p w14:paraId="46A0483C" w14:textId="15800C68" w:rsidR="00BF36FD" w:rsidRPr="00B96ADF" w:rsidRDefault="00206BE3"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Cette stratégie vise à servir de cadre pratique à l’action collective pour la période 2026-2030. Elle définit une orientation commune pour les membres, la direction et les partenaires </w:t>
      </w:r>
      <w:r w:rsidR="00BF36FD" w:rsidRPr="00B96ADF">
        <w:rPr>
          <w:rFonts w:ascii="Cambria" w:hAnsi="Cambria" w:cstheme="minorHAnsi"/>
          <w:sz w:val="24"/>
          <w:szCs w:val="24"/>
          <w:lang/>
        </w:rPr>
        <w:t>de l’AICA , tout en créant une approche cohérente du plaidoyer fondée sur les savoirs autochtones, les droits humains, l’équité, l’autodétermination et le leadership communautaire. Par cette stratégie, l’AICA ambitionne de contribuer à un avenir où les peuples autochtones et les communautés locales seront reconnus comme des acteurs essentiels de la conservation de la biodiversité africaine, de la protection des territoires ancestraux et de la promotion d’un développement durable, inclusif et juste.</w:t>
      </w:r>
    </w:p>
    <w:p w14:paraId="51FE2774" w14:textId="77777777" w:rsidR="00B168D3" w:rsidRPr="00B96ADF" w:rsidRDefault="00B168D3" w:rsidP="00B96ADF">
      <w:pPr>
        <w:spacing w:line="360" w:lineRule="auto"/>
        <w:jc w:val="both"/>
        <w:rPr>
          <w:rFonts w:ascii="Cambria" w:hAnsi="Cambria" w:cstheme="minorHAnsi"/>
          <w:sz w:val="24"/>
          <w:szCs w:val="24"/>
        </w:rPr>
      </w:pPr>
    </w:p>
    <w:p w14:paraId="2C2C35BB"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2" w:name="_Toc234795827"/>
      <w:r w:rsidRPr="00B96ADF">
        <w:rPr>
          <w:rFonts w:ascii="Cambria" w:hAnsi="Cambria" w:cstheme="minorHAnsi"/>
          <w:b/>
          <w:bCs/>
          <w:color w:val="auto"/>
          <w:sz w:val="24"/>
          <w:szCs w:val="24"/>
          <w:lang/>
        </w:rPr>
        <w:t>1.2 Objectif et portée de la stratégie</w:t>
      </w:r>
      <w:bookmarkEnd w:id="2"/>
    </w:p>
    <w:p w14:paraId="3716221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stratégie de plaidoyer et d'engagement fournit le cadre général qui guidera les activités de plaidoyer, d'engagement politique et de partenariats stratégiques de l'AICA au cours de la période 2026-2030. Elle définit une vision commune de l'action collective et établit une approche cohérente pour influencer les politiques, les institutions et les pratiques qui affectent les peuples autochtones et les communautés locales ( PACL ) à travers l'Afrique.</w:t>
      </w:r>
    </w:p>
    <w:p w14:paraId="0E6781EE" w14:textId="77777777" w:rsidR="00206BE3" w:rsidRPr="00B96ADF" w:rsidRDefault="00206BE3" w:rsidP="00B96ADF">
      <w:pPr>
        <w:spacing w:line="360" w:lineRule="auto"/>
        <w:jc w:val="both"/>
        <w:rPr>
          <w:rFonts w:ascii="Cambria" w:hAnsi="Cambria" w:cstheme="minorHAnsi"/>
          <w:sz w:val="24"/>
          <w:szCs w:val="24"/>
        </w:rPr>
      </w:pPr>
      <w:r w:rsidRPr="00B96ADF">
        <w:rPr>
          <w:rFonts w:ascii="Cambria" w:hAnsi="Cambria" w:cstheme="minorHAnsi"/>
          <w:sz w:val="24"/>
          <w:szCs w:val="24"/>
        </w:rPr>
        <w:t xml:space="preserve">Cette stratégie de plaidoyer et d'engagement a été élaborée selon un processus participatif et consultatif visant à garantir qu'elle reflète les priorités, les expériences et les aspirations des membres de l'AICA à travers l'Afrique. L'atelier principal d'élaboration de la stratégie s'est tenu à </w:t>
      </w:r>
      <w:r w:rsidRPr="00B96ADF">
        <w:rPr>
          <w:rFonts w:ascii="Cambria" w:hAnsi="Cambria" w:cstheme="minorHAnsi"/>
          <w:b/>
          <w:bCs/>
          <w:sz w:val="24"/>
          <w:szCs w:val="24"/>
        </w:rPr>
        <w:t xml:space="preserve">Yaoundé, au </w:t>
      </w:r>
      <w:proofErr w:type="gramStart"/>
      <w:r w:rsidRPr="00B96ADF">
        <w:rPr>
          <w:rFonts w:ascii="Cambria" w:hAnsi="Cambria" w:cstheme="minorHAnsi"/>
          <w:b/>
          <w:bCs/>
          <w:sz w:val="24"/>
          <w:szCs w:val="24"/>
        </w:rPr>
        <w:t xml:space="preserve">Cameroun </w:t>
      </w:r>
      <w:r w:rsidRPr="00B96ADF">
        <w:rPr>
          <w:rFonts w:ascii="Cambria" w:hAnsi="Cambria" w:cstheme="minorHAnsi"/>
          <w:sz w:val="24"/>
          <w:szCs w:val="24"/>
        </w:rPr>
        <w:t>,</w:t>
      </w:r>
      <w:proofErr w:type="gramEnd"/>
      <w:r w:rsidRPr="00B96ADF">
        <w:rPr>
          <w:rFonts w:ascii="Cambria" w:hAnsi="Cambria" w:cstheme="minorHAnsi"/>
          <w:sz w:val="24"/>
          <w:szCs w:val="24"/>
        </w:rPr>
        <w:t xml:space="preserve"> immédiatement après l'Assemblée générale annuelle de l'AICA , réunissant des représentants de toutes les régions où l'Alliance est présente. Le calendrier de cet atelier a permis à la stratégie de s'appuyer directement sur les délibérations et les résolutions de l'Assemblée générale, assurant ainsi une forte cohérence avec l'orientation stratégique globale de l'Alliance. Au cours de cet atelier, les participants ont examiné collectivement le paysage du plaidoyer, analysé les opportunités et les défis émergents, identifié les enjeux politiques prioritaires, cartographié les principaux acteurs et convenu des orientations stratégiques qui guideront le plaidoyer et l'engagement de l'AICA au cours des cinq prochaines années. Les </w:t>
      </w:r>
      <w:r w:rsidRPr="00B96ADF">
        <w:rPr>
          <w:rFonts w:ascii="Cambria" w:hAnsi="Cambria" w:cstheme="minorHAnsi"/>
          <w:sz w:val="24"/>
          <w:szCs w:val="24"/>
        </w:rPr>
        <w:lastRenderedPageBreak/>
        <w:t>résultats de ces discussions ont ensuite été synthétisés et affinés par l'examen de documents, l'analyse des cadres politiques régionaux et internationaux pertinents et une rédaction itérative afin de produire une stratégie ancrée dans les priorités des membres et positionnant l'AICA pour influencer efficacement les politiques et la prise de décision aux niveaux national, régional et mondial.</w:t>
      </w:r>
    </w:p>
    <w:p w14:paraId="6727DB46" w14:textId="74B30B73"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stratégie a été élaborée en tenant compte de la complexité croissante du contexte politique et de gouvernance qui affecte les peuples autochtones et leurs communautés locales. Les décisions relatives à la conservation de la biodiversité, aux changements climatiques, à la gouvernance foncière, aux marchés du carbone, à la gestion des ressources naturelles et au développement durable sont de plus en plus prises à différents niveaux : des collectivités locales et ministères nationaux aux instances régionales telles que l’Union africaine et aux plateformes internationales comme la Convention sur la diversité biologique (CDB), la Convention-cadre des Nations Unies sur les changements climatiques (CCNUCC) et l’Instance permanente des Nations Unies sur les questions autochtones (IPNUIA). Si ces espaces offrent d’importantes opportunités pour la promotion des droits des communautés, ils exigent également une mobilisation coordonnée, des données probantes solides, des partenariats stratégiques et un plaidoyer soutenu pour que la voix des peuples autochtones puisse véritablement influencer les décisions.</w:t>
      </w:r>
    </w:p>
    <w:p w14:paraId="7F13E85D"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Pour l’AICA, le plaidoyer ne se limite pas à influencer les politiques publiques. Il englobe le renforcement du pouvoir d’agir des peuples autochtones et des communautés locales afin qu’ils participent à la prise de décision, façonnent le débat public, tissent des alliances, produisent et diffusent des données probantes, soutiennent les solutions communautaires et garantissent la responsabilité des gouvernements, des organisations de conservation et des partenaires au développement quant aux engagements pris. Cette stratégie adopte donc une conception holistique du plaidoyer, combinant influence politique, mobilisation, renforcement institutionnel, communication stratégique et diplomatie.</w:t>
      </w:r>
    </w:p>
    <w:p w14:paraId="39C6331E"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stratégie vise à servir plusieurs objectifs complémentaires.</w:t>
      </w:r>
    </w:p>
    <w:p w14:paraId="03A3DF2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Premièrement, ce document définit l’orientation stratégique de l’AICA en précisant ses priorités en matière de plaidoyer et son positionnement dans le contexte plus large de la </w:t>
      </w:r>
      <w:r w:rsidRPr="00B96ADF">
        <w:rPr>
          <w:rFonts w:ascii="Cambria" w:hAnsi="Cambria" w:cstheme="minorHAnsi"/>
          <w:sz w:val="24"/>
          <w:szCs w:val="24"/>
          <w:lang/>
        </w:rPr>
        <w:lastRenderedPageBreak/>
        <w:t>conservation, des droits humains et du développement durable. En tant qu’alliance continentale représentant divers peuples autochtones et communautés locales, l’AICA a besoin d’un cadre clair pour orienter ses décisions quant aux domaines d’investissement de ses efforts de plaidoyer, aux partenariats à privilégier et à la manière de saisir les opportunités et de relever les défis politiques émergents.</w:t>
      </w:r>
    </w:p>
    <w:p w14:paraId="40B4285E"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Deuxièmement, la stratégie vise à renforcer la coordination entre les membres de l'AICA . L'Alliance rassemble des organisations et des réseaux œuvrant dans différents contextes écologiques, politiques et culturels, chacun possédant des expériences et des priorités uniques. Bien que ces contextes varient considérablement, de nombreuses communautés sont confrontées à des défis communs, notamment la précarité foncière, une participation limitée à la gouvernance, l'exclusion des processus décisionnels en matière de conservation, des difficultés d'accès au financement et l' érosion des systèmes de connaissances autochtones. Cette stratégie propose un programme commun permettant aux membres de défendre collectivement leurs intérêts tout en restant à l'écoute des réalités nationales et locales.</w:t>
      </w:r>
    </w:p>
    <w:p w14:paraId="5A7D722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Troisièmement, la stratégie établit un cadre pour la mobilisation des parties prenantes externes. Elle recense les institutions, les processus et les acteurs qui exercent la plus grande influence sur les politiques touchant les peuples autochtones et les communautés locales et décrit comment l'AICA entend les mobiliser par le biais du dialogue, des partenariats, des contributions techniques, des campagnes publiques, d'un soutien stratégique en matière de contentieux, de la diplomatie et de la participation aux processus politiques régionaux et internationaux. Ces voies de mobilisation s'appuient sur les priorités déjà identifiées par les membres de l'AICA, notamment un engagement renforcé auprès de l'Union africaine, des mécanismes des Nations Unies, des institutions financières internationales, des organisations de conservation et des partenaires au développement.</w:t>
      </w:r>
    </w:p>
    <w:p w14:paraId="1990C0A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Quatrièmement, la stratégie vise à renforcer la visibilité et la crédibilité institutionnelles de l’AICA . À mesure que l’Alliance se développe, elle doit être reconnue non seulement comme une organisation représentative de ses membres, mais aussi comme une source fiable de données probantes, d’analyses politiques et de solutions pratiques relatives aux droits des peuples autochtones et à la conservation menée par les communautés. La stratégie encourage donc l’investissement dans la recherche, la production de </w:t>
      </w:r>
      <w:r w:rsidRPr="00B96ADF">
        <w:rPr>
          <w:rFonts w:ascii="Cambria" w:hAnsi="Cambria" w:cstheme="minorHAnsi"/>
          <w:sz w:val="24"/>
          <w:szCs w:val="24"/>
          <w:lang/>
        </w:rPr>
        <w:lastRenderedPageBreak/>
        <w:t>connaissances, la communication et le leadership intellectuel, considérés comme des composantes essentielles d’un plaidoyer efficace.</w:t>
      </w:r>
    </w:p>
    <w:p w14:paraId="613C480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Enfin, la stratégie établit un cadre de responsabilisation pour sa mise en œuvre. Elle définit des objectifs stratégiques, des résultats attendus et des interventions prioritaires qui orienteront la planification annuelle, la mobilisation des ressources, le développement des partenariats et le suivi des résultats. Elle vise à soutenir une gestion adaptative, permettant à l’AICA de répondre à l’évolution du contexte politique, aux nouvelles opportunités et aux priorités changeantes identifiées par ses membres.</w:t>
      </w:r>
    </w:p>
    <w:p w14:paraId="60A4CBB9" w14:textId="2BF81679"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stratégie a une portée continentale, reflétant le mandat de l'AICA de représenter et de soutenir les peuples autochtones et les communautés locales à travers l'Afrique. Elle reconnaît également qu'un plaidoyer efficace doit s'appuyer sur les réalités locales et tenir compte des priorités des communautés. Par conséquent, la stratégie encourage l'action à différents niveaux : communautaire, national, régional et mondial, tout en favorisant la collaboration entre les organisations locales, les réseaux nationaux et les institutions continentales.</w:t>
      </w:r>
    </w:p>
    <w:p w14:paraId="5E054C6F" w14:textId="214B2EF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 définitive, cette stratégie se veut bien plus qu'un simple document de planification. Elle constitue une feuille de route pour une action collective visant à renforcer l'influence de l'AICA , à approfondir la solidarité entre ses membres et à contribuer à une transformation profonde de la manière dont la conservation et la gouvernance des ressources naturelles sont conçues et mises en œuvre en Afrique. En fournissant une orientation stratégique claire et des conseils pratiques pour l'engagement, cette stratégie ambitionne de positionner l'AICA comme la principale plateforme continentale promouvant les droits, le leadership et les aspirations des peuples autochtones et des communautés locales.</w:t>
      </w:r>
    </w:p>
    <w:p w14:paraId="262BDEFE" w14:textId="77777777" w:rsidR="00206BE3" w:rsidRPr="00B96ADF" w:rsidRDefault="00206BE3" w:rsidP="00B96ADF">
      <w:pPr>
        <w:spacing w:line="360" w:lineRule="auto"/>
        <w:jc w:val="both"/>
        <w:rPr>
          <w:rFonts w:ascii="Cambria" w:hAnsi="Cambria" w:cstheme="minorHAnsi"/>
          <w:sz w:val="24"/>
          <w:szCs w:val="24"/>
          <w:lang/>
        </w:rPr>
      </w:pPr>
    </w:p>
    <w:p w14:paraId="03B872DB" w14:textId="77777777" w:rsidR="00206BE3" w:rsidRPr="00B96ADF" w:rsidRDefault="00206BE3" w:rsidP="00B96ADF">
      <w:pPr>
        <w:spacing w:line="360" w:lineRule="auto"/>
        <w:jc w:val="both"/>
        <w:rPr>
          <w:rFonts w:ascii="Cambria" w:hAnsi="Cambria" w:cstheme="minorHAnsi"/>
          <w:sz w:val="24"/>
          <w:szCs w:val="24"/>
          <w:lang/>
        </w:rPr>
      </w:pPr>
    </w:p>
    <w:p w14:paraId="7104E880"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3" w:name="_Toc234795828"/>
      <w:r w:rsidRPr="00B96ADF">
        <w:rPr>
          <w:rFonts w:ascii="Cambria" w:hAnsi="Cambria" w:cstheme="minorHAnsi"/>
          <w:b/>
          <w:bCs/>
          <w:color w:val="auto"/>
          <w:sz w:val="24"/>
          <w:szCs w:val="24"/>
          <w:lang/>
        </w:rPr>
        <w:t>1.3 Principes directeurs</w:t>
      </w:r>
      <w:bookmarkEnd w:id="3"/>
    </w:p>
    <w:p w14:paraId="64586B9C" w14:textId="561AF088"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En tant qu'alliance de membres représentant divers peuples autochtones et communautés locales à travers l'Afrique, le plaidoyer de l'AICA doit s'appuyer sur des </w:t>
      </w:r>
      <w:r w:rsidRPr="00B96ADF">
        <w:rPr>
          <w:rFonts w:ascii="Cambria" w:hAnsi="Cambria" w:cstheme="minorHAnsi"/>
          <w:sz w:val="24"/>
          <w:szCs w:val="24"/>
          <w:lang/>
        </w:rPr>
        <w:lastRenderedPageBreak/>
        <w:t>approches qui respectent les droits de l'homme, renforcent le leadership communautaire et promeuvent une prise de décision inclusive, responsable et équitable.</w:t>
      </w:r>
    </w:p>
    <w:p w14:paraId="2F253C47"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principes suivants guideront tous les efforts de plaidoyer, d’engagement et de partenariat entrepris dans le cadre de cette stratégie.</w:t>
      </w:r>
    </w:p>
    <w:p w14:paraId="42864C41"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Approche fondée sur les droits</w:t>
      </w:r>
    </w:p>
    <w:p w14:paraId="352838F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d'AICA repose sur le principe que les peuples autochtones et les communautés locales sont titulaires de droits et non de simples bénéficiaires des initiatives de développement ou de conservation. Leurs droits collectifs à la terre, aux territoires, aux ressources naturelles, à l'autonomie gouvernementale, à la culture et à l'identité doivent être reconnus, respectés et protégés conformément aux constitutions nationales, aux instruments régionaux relatifs aux droits humains et aux cadres juridiques internationaux, notamment la Déclaration des Nations Unies sur les droits des peuples autochtones (DNUDPA), la Charte africaine des droits de l'homme et des peuples et les autres conventions pertinentes.</w:t>
      </w:r>
    </w:p>
    <w:p w14:paraId="484832DC"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Autodétermination et leadership communautaire</w:t>
      </w:r>
    </w:p>
    <w:p w14:paraId="25D83DB5" w14:textId="75AB25C0"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peuples autochtones et les communautés locales ont le droit inhérent de déterminer leurs propres priorités de développement, leurs systèmes de gouvernance et leurs aspirations futures. L’AICA reconnaît que les solutions durables sont plus efficaces lorsqu’elles sont conçues, pilotées et mises en œuvre par les communautés elles-mêmes. Par conséquent, l’Alliance encouragera le leadership communautaire dans tous les aspects de son travail, en veillant à ce que ses prises de position reflètent les priorités et les expériences de ses membres plutôt que des agendas extérieurs. Dans la mesure du possible, l’AICA créera des occasions pour les représentants des communautés de participer directement au dialogue politique, aux négociations internationales et aux activités de plaidoyer public.</w:t>
      </w:r>
    </w:p>
    <w:p w14:paraId="73C41E78"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Consentement libre, préalable et éclairé (CLPE)</w:t>
      </w:r>
    </w:p>
    <w:p w14:paraId="1EA52E4F" w14:textId="04AEE76E"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 respect du consentement libre, préalable et éclairé (CLPE) est fondamental pour une conservation fondée sur les droits et un développement durable. Aucune décision affectant les terres, les territoires, les ressources, le patrimoine culturel et les moyens de subsistance des peuples autochtones ne devrait être prise sans la participation et le </w:t>
      </w:r>
      <w:r w:rsidRPr="00B96ADF">
        <w:rPr>
          <w:rFonts w:ascii="Cambria" w:hAnsi="Cambria" w:cstheme="minorHAnsi"/>
          <w:sz w:val="24"/>
          <w:szCs w:val="24"/>
          <w:lang/>
        </w:rPr>
        <w:lastRenderedPageBreak/>
        <w:t>consentement significatifs des communautés concernées. L’AICA plaidera pour l’adoption et la mise en œuvre effective du CLPE dans l’ensemble des initiatives de conservation, des programmes de financement climatique, des industries extractives, des projets d’infrastructure et autres interventions ayant un impact sur les peuples autochtones et les communautés locales. Une attention particulière sera portée au renforcement des mécanismes de responsabilisation afin de garantir une application cohérente et de bonne foi du CLPE. Ceci reflète les priorités identifiées par les membres de l’AICA, notamment le renforcement des garanties au sein des mécanismes de financement internationaux et des programmes de conservation.</w:t>
      </w:r>
    </w:p>
    <w:p w14:paraId="41EE4D4A"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Conservation menée par la communauté</w:t>
      </w:r>
    </w:p>
    <w:p w14:paraId="23FB8C13" w14:textId="4DBDD4FF"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Depuis des générations, les peuples autochtones et les communautés locales préservent les écosystèmes, protègent la biodiversité et développent des systèmes durables de gestion des ressources naturelles. L’AICA rejette donc les approches qui excluent les communautés de la conservation ou les considèrent uniquement comme bénéficiaires d’interventions extérieures. L’Alliance défendra des modèles de conservation qui reconnaissent les systèmes de gouvernance coutumiers, garantissent les droits fonciers des communautés, promeuvent un partage équitable des bénéfices et renforcent la gestion des écosystèmes par les peuples autochtones. La conservation menée par les communautés restera un pilier central de l’engagement de l’AICA auprès des gouvernements, des organisations de conservation et des processus environnementaux internationaux.</w:t>
      </w:r>
    </w:p>
    <w:p w14:paraId="6DAF5193" w14:textId="77777777" w:rsidR="00206BE3" w:rsidRPr="00B96ADF" w:rsidRDefault="00206BE3" w:rsidP="00B96ADF">
      <w:pPr>
        <w:spacing w:line="360" w:lineRule="auto"/>
        <w:jc w:val="both"/>
        <w:rPr>
          <w:rFonts w:ascii="Cambria" w:hAnsi="Cambria" w:cstheme="minorHAnsi"/>
          <w:sz w:val="24"/>
          <w:szCs w:val="24"/>
          <w:lang/>
        </w:rPr>
      </w:pPr>
    </w:p>
    <w:p w14:paraId="043977F8"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Inclusion et équité</w:t>
      </w:r>
    </w:p>
    <w:p w14:paraId="678C274A" w14:textId="247E058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L’AICA reconnaît que les peuples autochtones et les communautés locales ne sont pas homogènes. Les femmes, les jeunes, les aînés, les personnes handicapées et les autres groupes marginalisés subissent souvent des formes d’exclusion multiples et croisées, même au sein de leurs propres communautés. L’Alliance s’engage à ce que les processus de plaidoyer soient inclusifs, représentatifs et tiennent compte de cette diversité. Des efforts concertés seront déployés pour renforcer le leadership et la participation des femmes et des jeunes, tout en respectant le rôle essentiel des aînés et des institutions </w:t>
      </w:r>
      <w:r w:rsidRPr="00B96ADF">
        <w:rPr>
          <w:rFonts w:ascii="Cambria" w:hAnsi="Cambria" w:cstheme="minorHAnsi"/>
          <w:sz w:val="24"/>
          <w:szCs w:val="24"/>
          <w:lang/>
        </w:rPr>
        <w:lastRenderedPageBreak/>
        <w:t>traditionnelles dans la préservation des systèmes de gouvernance et du patrimoine culturel autochtones.</w:t>
      </w:r>
    </w:p>
    <w:p w14:paraId="06CC37AD"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Respect des systèmes de connaissances autochtones</w:t>
      </w:r>
    </w:p>
    <w:p w14:paraId="552D2F58" w14:textId="4513E2BB"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savoirs autochtones représentent des générations d'observation, d'innovation et de gestion responsable qui continuent de façonner la gestion durable des écosystèmes africains. Ces systèmes de connaissances sont essentiels pour relever les défis contemporains tels que la perte de biodiversité, les changements climatiques et la dégradation des terres. L'AICA s'engage à promouvoir la reconnaissance égale des savoirs autochtones et scientifiques, à encourager leur intégration dans les politiques et les processus décisionnels, et à soutenir les efforts visant à documenter, protéger et transmettre aux générations futures les langues autochtones, les pratiques culturelles et les savoirs écologiques traditionnels.</w:t>
      </w:r>
    </w:p>
    <w:p w14:paraId="417E29D8"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Plaidoyer fondé sur des données probantes</w:t>
      </w:r>
    </w:p>
    <w:p w14:paraId="5A6AF760" w14:textId="1146819B"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Pour influencer les politiques, il est essentiel de disposer de données probantes crédibles, étayées par l'expérience vécue. L'AICA investira dans la production et l'utilisation de données probantes de haute qualité, issues des expériences communautaires, des savoirs autochtones, de la recherche participative, de l'analyse juridique et du suivi des politiques, afin d'éclairer ses actions de plaidoyer. L'Alliance collaborera avec des institutions de recherche, des universités, des chercheurs communautaires et des détenteurs de savoirs pour produire des données probantes qui renforcent le dialogue politique, tout en veillant à ce que les communautés conservent la maîtrise de leurs connaissances et de leurs données.</w:t>
      </w:r>
    </w:p>
    <w:p w14:paraId="54A106EC"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Solidarité et action collective</w:t>
      </w:r>
    </w:p>
    <w:p w14:paraId="75781E5C" w14:textId="2B9374F3"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La diversité des peuples autochtones et des communautés locales en Afrique est l'une des plus grandes forces de l'AICA . Malgré des réalités politiques, écologiques et culturelles différentes, ces communautés sont unies par des luttes communes pour la reconnaissance, la justice et l'autodétermination. L'AICA continuera de renforcer la solidarité entre ses membres en favorisant la collaboration, l'échange de connaissances et un plaidoyer coordonné à l'échelle des pays et des régions. Par une action collective, l'Alliance vise à amplifier la voix des populations locales, à renforcer leur pouvoir de </w:t>
      </w:r>
      <w:r w:rsidRPr="00B96ADF">
        <w:rPr>
          <w:rFonts w:ascii="Cambria" w:hAnsi="Cambria" w:cstheme="minorHAnsi"/>
          <w:sz w:val="24"/>
          <w:szCs w:val="24"/>
          <w:lang/>
        </w:rPr>
        <w:lastRenderedPageBreak/>
        <w:t>négociation et à créer une plateforme continentale unifiée capable d'influencer les processus politiques régionaux et mondiaux.</w:t>
      </w:r>
    </w:p>
    <w:p w14:paraId="1C31A357"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Responsabilité et transparence</w:t>
      </w:r>
    </w:p>
    <w:p w14:paraId="2AC79B4D" w14:textId="1A783AAB"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s’engage à maintenir des normes élevées d’intégrité, de transparence et de responsabilité dans sa gouvernance, ses partenariats et son plaidoyer. L’Alliance communiquera ouvertement avec ses membres, veillera à des processus décisionnels inclusifs et mettra en place des mécanismes de suivi des progrès et d’analyse des enseignements tirés de la mise en œuvre. L’AICA plaidera pour une plus grande responsabilisation des gouvernements, des organisations de conservation, des bailleurs de fonds, des agences de développement et des acteurs du secteur privé dont les décisions ont une incidence sur les peuples autochtones et les communautés locales. La transparence en matière de financement, de mise en œuvre des politiques et de partage des bénéfices demeurera une priorité constante de son plaidoyer.</w:t>
      </w:r>
    </w:p>
    <w:p w14:paraId="469DB25D"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Partenariats stratégiques</w:t>
      </w:r>
    </w:p>
    <w:p w14:paraId="183306D8" w14:textId="7A31C965"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Transformer la gouvernance en matière de conservation et d'environnement exige une collaboration intersectorielle et interinstitutionnelle. L'AICA privilégiera donc les partenariats fondés sur le respect mutuel, des valeurs partagées et un engagement manifeste en faveur des droits et des aspirations des peuples autochtones et des communautés locales. Ces partenariats seront guidés par des principes clairs d'équité, de transparence et de responsabilité partagée, afin de renforcer le leadership communautaire plutôt que de s'y substituer. L'Alliance collaborera de manière constructive avec les gouvernements, les institutions régionales, les organisations de la société civile, les instituts de recherche, les partenaires au développement, les fondations philanthropiques et les organisations de conservation, lorsque cette collaboration contribue à la réalisation d'objectifs communs et sert les intérêts de ses membres.</w:t>
      </w:r>
    </w:p>
    <w:p w14:paraId="6997EC91" w14:textId="77777777" w:rsidR="00BF36FD" w:rsidRPr="00B96ADF" w:rsidRDefault="00BF36FD" w:rsidP="00B96ADF">
      <w:pPr>
        <w:pStyle w:val="Titre1"/>
        <w:spacing w:line="360" w:lineRule="auto"/>
        <w:rPr>
          <w:rFonts w:ascii="Cambria" w:hAnsi="Cambria" w:cstheme="minorHAnsi"/>
          <w:b/>
          <w:bCs/>
          <w:color w:val="auto"/>
          <w:sz w:val="24"/>
          <w:szCs w:val="24"/>
          <w:lang/>
        </w:rPr>
      </w:pPr>
      <w:bookmarkStart w:id="4" w:name="_Toc234795829"/>
      <w:r w:rsidRPr="00B96ADF">
        <w:rPr>
          <w:rFonts w:ascii="Cambria" w:hAnsi="Cambria" w:cstheme="minorHAnsi"/>
          <w:b/>
          <w:bCs/>
          <w:color w:val="auto"/>
          <w:sz w:val="24"/>
          <w:szCs w:val="24"/>
          <w:lang/>
        </w:rPr>
        <w:t>2. Analyse situationnelle</w:t>
      </w:r>
      <w:bookmarkEnd w:id="4"/>
    </w:p>
    <w:p w14:paraId="045B698B"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5" w:name="_Toc234795830"/>
      <w:r w:rsidRPr="00B96ADF">
        <w:rPr>
          <w:rFonts w:ascii="Cambria" w:hAnsi="Cambria" w:cstheme="minorHAnsi"/>
          <w:b/>
          <w:bCs/>
          <w:color w:val="auto"/>
          <w:sz w:val="24"/>
          <w:szCs w:val="24"/>
          <w:lang/>
        </w:rPr>
        <w:t>2.1 Context</w:t>
      </w:r>
      <w:bookmarkEnd w:id="5"/>
    </w:p>
    <w:p w14:paraId="41ECBE6E" w14:textId="7D5A285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L’Afrique abrite des peuples autochtones et des communautés locales dont l’identité, la culture et les moyens de subsistance sont étroitement liés aux forêts, aux pâturages, aux zones humides, aux montagnes, aux déserts et aux écosystèmes côtiers du continent. </w:t>
      </w:r>
      <w:r w:rsidRPr="00B96ADF">
        <w:rPr>
          <w:rFonts w:ascii="Cambria" w:hAnsi="Cambria" w:cstheme="minorHAnsi"/>
          <w:sz w:val="24"/>
          <w:szCs w:val="24"/>
          <w:lang/>
        </w:rPr>
        <w:lastRenderedPageBreak/>
        <w:t>Dans ces paysages, ces communautés ont développé des systèmes de gouvernance, de gestion écologique et de savoirs qui ont préservé la biodiversité et favorisé la résilience depuis des générations. De plus en plus, les données scientifiques et les processus politiques internationaux reconnaissent que les territoires gouvernés et gérés par les peuples autochtones et les communautés locales obtiennent souvent des résultats en matière de conservation égaux, voire supérieurs, à ceux des aires protégées officiellement.</w:t>
      </w:r>
    </w:p>
    <w:p w14:paraId="32525FF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Malgré ces contributions, les peuples autochtones et les communautés locales continuent de subir une marginalisation politique, juridique et économique systémique. Dans une grande partie de l'Afrique, les politiques de conservation, de gouvernance des ressources naturelles et de développement ont été élaborées sans reconnaître pleinement les systèmes fonciers coutumiers, les institutions de gouvernance autochtones ni les droits des communautés. Nombre de ces peuples autochtones et communautés locales continuent de faire face à l'insécurité foncière, à l'exclusion des processus décisionnels, aux expulsions forcées, à la criminalisation des défenseurs de l'environnement et à un accès limité à la justice. Ces difficultés sont aggravées par la pression croissante des industries extractives, de l'agriculture commerciale, du développement des infrastructures, des marchés du carbone et des investissements liés au climat, autant d'éléments qui intensifient la concurrence pour la terre et les ressources naturelles.</w:t>
      </w:r>
    </w:p>
    <w:p w14:paraId="1D3991E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Parallèlement, le contexte politique mondial connaît une transformation profonde. Les engagements internationaux pris dans le cadre de l’Accord de Kunming-Montréal sur la biodiversité mondiale, de l’Accord de Paris, des Objectifs de développement durable et des nouveaux mécanismes de financement climatique ont renforcé l’importance de reconnaître les peuples autochtones et les communautés locales comme des partenaires essentiels dans la lutte contre l’érosion de la biodiversité et les changements climatiques. La conservation fondée sur les droits humains occupe une place de plus en plus importante, et les appels se multiplient pour que les gouvernements, les organisations de conservation et les agences de développement abandonnent les approches d’exclusion au profit de modèles qui reconnaissent le leadership communautaire, la gouvernance coutumière et le partage équitable des bénéfices.</w:t>
      </w:r>
    </w:p>
    <w:p w14:paraId="449F23B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Ces évolutions représentent une occasion cruciale pour l'AICA et ses membres. Toutefois, elles exigent également une coordination renforcée, un plaidoyer soutenu et un </w:t>
      </w:r>
      <w:r w:rsidRPr="00B96ADF">
        <w:rPr>
          <w:rFonts w:ascii="Cambria" w:hAnsi="Cambria" w:cstheme="minorHAnsi"/>
          <w:sz w:val="24"/>
          <w:szCs w:val="24"/>
          <w:lang/>
        </w:rPr>
        <w:lastRenderedPageBreak/>
        <w:t>engagement stratégique. Sans représentation organisée, les décisions affectant les peuples autochtones et les communautés locales risquent de continuer à être prises sans leur participation effective, ce qui pourrait aboutir à des politiques et des investissements ne reflétant pas les priorités des communautés ni ne respectant leurs droits.</w:t>
      </w:r>
    </w:p>
    <w:p w14:paraId="2829B9F6"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évolue donc dans un contexte politique en pleine mutation, marqué par d’importantes opportunités et des défis structurels persistants. Son rôle est de renforcer la capacité collective des peuples autochtones et des communautés locales à influencer ces processus, tout en veillant à ce que les programmes de conservation et de développement soient fermement ancrés dans les droits humains, l’équité et le leadership communautaire.</w:t>
      </w:r>
    </w:p>
    <w:p w14:paraId="37BA208D"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6" w:name="_Toc234795831"/>
      <w:r w:rsidRPr="00B96ADF">
        <w:rPr>
          <w:rFonts w:ascii="Cambria" w:hAnsi="Cambria" w:cstheme="minorHAnsi"/>
          <w:b/>
          <w:bCs/>
          <w:color w:val="auto"/>
          <w:sz w:val="24"/>
          <w:szCs w:val="24"/>
          <w:lang/>
        </w:rPr>
        <w:t>2.2 Principaux défis touchant les peuples autochtones et les communautés locales</w:t>
      </w:r>
      <w:bookmarkEnd w:id="6"/>
    </w:p>
    <w:p w14:paraId="7A7F97E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Bien que les expériences des peuples autochtones et des communautés locales diffèrent selon les pays et les régions, les consultations menées lors de la création de l’AICA révèlent plusieurs défis récurrents à l’échelle du continent. Ces défis sont interdépendants et se renforcent mutuellement, limitant la capacité des communautés à exercer leurs droits, à protéger leurs territoires et à participer pleinement aux processus de gouvernance.</w:t>
      </w:r>
    </w:p>
    <w:p w14:paraId="0BF3CBEB"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Reconnaissance juridique insuffisante des peuples autochtones</w:t>
      </w:r>
    </w:p>
    <w:p w14:paraId="22E2BD0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L'un des principaux obstacles auxquels sont confrontés les peuples autochtones d'Afrique est l'absence de reconnaissance juridique et constitutionnelle claire dans de nombreux pays. Si plusieurs États africains reconnaissent l'existence de communautés ethniques ou traditionnelles, rares sont ceux qui ont adopté des cadres juridiques complets reconnaissant aux peuples autochtones des droits distincts, ainsi que des droits collectifs sur leurs terres, leurs territoires, leurs cultures et leurs systèmes de gouvernance.</w:t>
      </w:r>
    </w:p>
    <w:p w14:paraId="6F7A9A6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L’absence de reconnaissance a des conséquences concrètes. Les communautés peinent souvent à faire valoir leurs droits fonciers collectifs, à participer aux prises de décision publiques, à accéder à la justice ou à contester les actions qui menacent leurs territoires et leurs moyens de subsistance. Dans de nombreux cas, les institutions de gouvernance coutumière demeurent en marge des systèmes de gouvernance formels, malgré leur rôle central dans la gestion des ressources naturelles et le règlement des différends. Cette faible reconnaissance juridique limite également la mise en œuvre des engagements régionaux et internationaux relatifs aux droits des peuples autochtones.</w:t>
      </w:r>
    </w:p>
    <w:p w14:paraId="4D820143"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lastRenderedPageBreak/>
        <w:t>Insécurité foncière et territoriale</w:t>
      </w:r>
    </w:p>
    <w:p w14:paraId="0F7748D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sécurité foncière demeure le fondement de nombreux autres droits. Partout en Afrique, les peuples autochtones et les communautés locales continuent de subir des expropriations foncières dues aux revendications concurrentes des gouvernements, des investisseurs privés, des industries extractives, des projets d'infrastructure et des initiatives de conservation.</w:t>
      </w:r>
    </w:p>
    <w:p w14:paraId="6E318630"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nombreux territoires coutumiers demeurent non cartographiés, non enregistrés ou insuffisamment protégés par la loi, ce qui rend les communautés vulnérables à l'accaparement des terres, aux conflits frontaliers et aux déplacements forcés. Les femmes et les jeunes sont souvent confrontés à des obstacles supplémentaires pour accéder aux décisions relatives à la gouvernance foncière et y participer.</w:t>
      </w:r>
    </w:p>
    <w:p w14:paraId="7CF5E0D6"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Face à la demande croissante de terres liée à l'agriculture commerciale, à l'exploitation minière, aux projets d'énergies renouvelables et aux investissements dans le carbone, la sécurisation des droits fonciers des communautés est devenue une priorité absolue. Sans sécurité foncière, ces communautés peinent à protéger la biodiversité, à préserver leurs moyens de subsistance traditionnels et à négocier des partenariats équitables avec les acteurs extérieurs.</w:t>
      </w:r>
    </w:p>
    <w:p w14:paraId="7FBF6641"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Exclusion de la prise de décision</w:t>
      </w:r>
    </w:p>
    <w:p w14:paraId="6CC2B6D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Bien que de nombreuses politiques nationales et internationales mettent l'accent sur la participation, les peuples autochtones et les communautés locales demeurent sous-représentés au sein des institutions chargées de la gestion des terres, de la biodiversité, des changements climatiques et des ressources naturelles. Les processus de consultation sont souvent irréguliers, sous-financés ou menés après que des décisions importantes ont déjà été prises.</w:t>
      </w:r>
    </w:p>
    <w:p w14:paraId="04ED06E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participation se limite souvent au partage d'informations plutôt qu'à une véritable influence sur les décisions politiques. Les femmes, les jeunes et les communautés isolées font face à des obstacles encore plus importants liés à la langue, à la situation géographique, aux contraintes financières et à un accès limité aux processus décisionnels.</w:t>
      </w:r>
    </w:p>
    <w:p w14:paraId="142DEF8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 renforcement de la représentation au sein des gouvernements nationaux, des institutions régionales, des organisations de conservation et des négociations environnementales internationales demeure donc une priorité centrale pour l'AICA.</w:t>
      </w:r>
    </w:p>
    <w:p w14:paraId="414B0FAB"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Violations des droits de l'homme liées à la conservation</w:t>
      </w:r>
    </w:p>
    <w:p w14:paraId="77A4F61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Dans plusieurs régions d'Afrique, les initiatives de conservation ont été associées à des expulsions forcées, à des restrictions de l'utilisation coutumière des ressources et à des conflits entre les autorités des aires protégées et les communautés autochtones. Si la conservation est essentielle à la protection de la biodiversité, les approches qui excluent les communautés de leurs terres ancestrales ont souvent porté atteinte aux droits humains et compromis les résultats à long terme en matière de conservation.</w:t>
      </w:r>
    </w:p>
    <w:p w14:paraId="0E821B4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consultations menées par les membres de l'AICA ont souligné la nécessité de transformer la gouvernance de la conservation en promouvant des approches fondées sur les droits et pilotées par les communautés, qui reconnaissent la gestion autochtone, les institutions coutumières et le consentement libre, préalable et éclairé (CLPE). Mettre fin à la conservation centralisée et renforcer la conservation pilotée par les communautés demeurent des priorités de plaidoyer essentielles identifiées par l'Alliance.</w:t>
      </w:r>
    </w:p>
    <w:p w14:paraId="305CAEAF"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Accès limité au financement du climat et de la biodiversité</w:t>
      </w:r>
    </w:p>
    <w:p w14:paraId="6EA6452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engagements internationaux reconnaissent de plus en plus l'importance d'allouer des ressources financières aux peuples autochtones et aux communautés locales. Cependant, dans les faits, seule une faible proportion des financements destinés au climat et à la biodiversité parvient directement aux institutions communautaires.</w:t>
      </w:r>
    </w:p>
    <w:p w14:paraId="7BB7608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nombreux mécanismes de financement continuent d'acheminer les ressources par l'intermédiaire de gouvernements ou d'organisations internationales, créant ainsi de multiples niveaux administratifs qui réduisent le contrôle des communautés sur la conception et la mise en œuvre des programmes. Les petites organisations autochtones rencontrent également des difficultés à satisfaire aux exigences des donateurs, malgré les connaissances locales et la légitimité nécessaires à l'obtention de résultats concrets en matière de conservation.</w:t>
      </w:r>
    </w:p>
    <w:p w14:paraId="272A7F0F"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Érosion des connaissances, des langues et du patrimoine culturel autochtones</w:t>
      </w:r>
    </w:p>
    <w:p w14:paraId="245939F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L’évolution rapide des contextes sociaux, économiques et environnementaux exerce une pression croissante sur les systèmes de connaissances, les langues et les pratiques culturelles autochtones. L’urbanisation, les migrations, les transformations des systèmes éducatifs et le déclin de l’usage des langues autochtones ont affaibli la transmission intergénérationnelle des savoirs dans de nombreuses communautés.</w:t>
      </w:r>
    </w:p>
    <w:p w14:paraId="5416B25D" w14:textId="23A1CB73"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érosion a des répercussions qui dépassent le cadre de l'identité culturelle. Les savoirs autochtones sont essentiels à la gestion durable des ressources, à l'adaptation au changement climatique, à la conservation de la biodiversité et à la gouvernance coutumière. Leur disparition représente donc un défi à la fois culturel et environnemental. La protection des savoirs autochtones exige un investissement délibéré dans leur documentation, la revitalisation des langues, la transmission intergénérationnelle du savoir et sa reconnaissance dans l'éducation, la recherche et les politiques publiques.</w:t>
      </w:r>
    </w:p>
    <w:p w14:paraId="05C582C3"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Réduction de l'espace civique et risques pour les défenseurs de l'environnement</w:t>
      </w:r>
    </w:p>
    <w:p w14:paraId="0C29036B" w14:textId="212A0E4D"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Dans plusieurs pays africains, les leaders autochtones, les défenseurs des droits humains et les militants communautaires continuent d'œuvrer dans un contexte de plus en plus répressif. Les personnes qui militent pour les droits fonciers, la protection de l'environnement et la participation communautaire peuvent être victimes d'intimidation, de criminalisation, d'arrestation arbitraire ou de violence. Ces tendances fragilisent la gouvernance démocratique et découragent toute participation significative à la vie publique. Elles limitent également la capacité des communautés à participer ouvertement au dialogue politique ou à contester les décisions qui affectent leurs droits.</w:t>
      </w:r>
    </w:p>
    <w:p w14:paraId="1C74C6B0"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continuera donc de plaider en faveur de la protection des défenseurs de l’environnement et des droits humains, tout en soutenant les mécanismes de responsabilisation régionaux et internationaux capables de réagir aux violations.</w:t>
      </w:r>
    </w:p>
    <w:p w14:paraId="24FEB98A"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7" w:name="_Toc234795832"/>
      <w:r w:rsidRPr="00B96ADF">
        <w:rPr>
          <w:rFonts w:ascii="Cambria" w:hAnsi="Cambria" w:cstheme="minorHAnsi"/>
          <w:b/>
          <w:bCs/>
          <w:color w:val="auto"/>
          <w:sz w:val="24"/>
          <w:szCs w:val="24"/>
          <w:lang/>
        </w:rPr>
        <w:t>2.3 Opportunités émergentes et points d'entrée stratégiques</w:t>
      </w:r>
      <w:bookmarkEnd w:id="7"/>
    </w:p>
    <w:p w14:paraId="0EB15427" w14:textId="1174D18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Bien que les peuples autochtones et les communautés locales continuent de se heurter à d'importants obstacles structurels à travers l'Afrique, le contexte politique évolue de manière à créer des opportunités cruciales pour promouvoir une conservation fondée sur les droits, une gouvernance inclusive et le leadership communautaire. La reconnaissance internationale croissante des savoirs autochtones, les engagements accrus en faveur de la </w:t>
      </w:r>
      <w:r w:rsidRPr="00B96ADF">
        <w:rPr>
          <w:rFonts w:ascii="Cambria" w:hAnsi="Cambria" w:cstheme="minorHAnsi"/>
          <w:sz w:val="24"/>
          <w:szCs w:val="24"/>
          <w:lang/>
        </w:rPr>
        <w:lastRenderedPageBreak/>
        <w:t>protection de la biodiversité et de la résilience climatique, ainsi que l'élargissement du dialogue sur la justice environnementale ont ouvert de nouveaux espaces permettant à l'AICA d'influencer les politiques et les pratiques. Cela exige un plaidoyer coordonné, un engagement fondé sur des données probantes et des partenariats durables avec les institutions qui façonnent les politiques et les investissements ayant une incidence sur les terres, les ressources et les moyens de subsistance des communautés.</w:t>
      </w:r>
    </w:p>
    <w:p w14:paraId="43F62586"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Reconnaissance croissante des peuples autochtones dans la gouvernance environnementale mondiale</w:t>
      </w:r>
    </w:p>
    <w:p w14:paraId="550A58D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Au cours de la dernière décennie, la gouvernance environnementale internationale a de plus en plus reconnu que la conservation de la biodiversité et la lutte contre le changement climatique ne peuvent aboutir sans le leadership des peuples autochtones et des communautés locales. Les données scientifiques ont constamment démontré que les territoires gérés par les peuples autochtones présentent souvent des taux de perte de biodiversité et de dégradation des écosystèmes inférieurs à ceux de nombreuses aires protégées. Ce corpus de preuves croissant a fait évoluer le discours international, qui considère désormais les communautés non plus comme de simples bénéficiaires de la conservation, mais comme des partenaires essentiels à la réalisation des objectifs environnementaux mondiaux.</w:t>
      </w:r>
    </w:p>
    <w:p w14:paraId="08FF6E80"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L’adoption du Cadre mondial de Kunming-Montréal pour la biodiversité a marqué une étape importante en réaffirmant la nécessité de reconnaître les droits des peuples autochtones, de respecter les savoirs traditionnels et d’assurer leur pleine et effective participation à la gouvernance de la biodiversité. De même, les négociations climatiques en cours dans le cadre de la Convention-cadre des Nations Unies sur les changements climatiques (CCNUCC) ont permis une plus grande visibilité des voix autochtones grâce à des mécanismes tels que la Plateforme des communautés locales et des peuples autochtones (PCLPA), tandis qu’une attention accrue est portée à l’adaptation menée localement et à l’action climatique axée sur les communautés.</w:t>
      </w:r>
    </w:p>
    <w:p w14:paraId="4A3EED0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Ces évolutions offrent à l'AICA des opportunités de renforcer la représentation africaine au sein des processus environnementaux mondiaux, de coordonner des positions communes en matière de plaidoyer et de veiller à ce que les engagements internationaux </w:t>
      </w:r>
      <w:r w:rsidRPr="00B96ADF">
        <w:rPr>
          <w:rFonts w:ascii="Cambria" w:hAnsi="Cambria" w:cstheme="minorHAnsi"/>
          <w:sz w:val="24"/>
          <w:szCs w:val="24"/>
          <w:lang/>
        </w:rPr>
        <w:lastRenderedPageBreak/>
        <w:t>reflètent les priorités et les expériences vécues des peuples autochtones et des communautés locales à travers le continent.</w:t>
      </w:r>
    </w:p>
    <w:p w14:paraId="6B181F26"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Dynamique croissante en faveur de la conservation fondée sur les droits</w:t>
      </w:r>
    </w:p>
    <w:p w14:paraId="176FED71"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Dans le secteur de la conservation, on reconnaît de plus en plus que les approches d’exclusion ont souvent échoué à produire des résultats équitables et durables. Les organisations de conservation, les gouvernements et les partenaires au développement admettent de plus en plus que la protection de la biodiversité exige de garantir les droits des communautés, de renforcer les systèmes de gouvernance coutumière et de soutenir la gestion des ressources naturelles par les peuples autochtones.</w:t>
      </w:r>
    </w:p>
    <w:p w14:paraId="395A5E3B" w14:textId="3AC0F6E1"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 changement offre à l'AICA l'opportunité d'influencer les réformes en cours au sein des institutions de conservation en plaidant pour des approches qui placent les communautés au cœur de la planification et de la mise en œuvre de la conservation. Une attention particulière sera portée à la reconnaissance des droits fonciers coutumiers, au renforcement du consentement libre, préalable et éclairé (CLPE), à la prévention des expulsions forcées et à la garantie d'un partage équitable des bénéfices de la conservation. L'Alliance collaborera également avec les organisations et forums internationaux de conservation afin d'encourager une plus grande responsabilisation et une meilleure harmonisation avec les normes relatives aux droits humains. Comme en témoignent les consultations menées auprès de ses membres, la collaboration avec des institutions telles que l'Union internationale pour la conservation de la nature (UICN) et d'autres acteurs de la conservation visera à promouvoir la gestion communautaire des ressources naturelles et à mettre fin aux modèles de conservation qui portent atteinte aux droits des peuples autochtones.</w:t>
      </w:r>
    </w:p>
    <w:p w14:paraId="5ADDC3F1"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Développement des mécanismes africains de politique et de droits de l'homme</w:t>
      </w:r>
    </w:p>
    <w:p w14:paraId="08B2CB7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institutions régionales africaines constituent des leviers de plus en plus importants pour la promotion des droits des peuples autochtones. L’Union africaine continue de renforcer les cadres politiques relatifs à la gouvernance foncière, à la biodiversité, aux changements climatiques et au développement durable, tandis que la Commission africaine des droits de l’homme et des peuples a mis en place des mécanismes qui prennent en compte les droits des populations autochtones et des défenseurs de l’environnement.</w:t>
      </w:r>
    </w:p>
    <w:p w14:paraId="507A4BA7" w14:textId="030F50D5"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Les communautés économiques régionales, notamment la Communauté d'Afrique de l'Est (CAE), la Communauté économique des États de l'Afrique de l'Ouest (CEDEAO), la Communauté de développement de l'Afrique australe (SADC), l'Autorité intergouvernementale pour le développement (IGAD) et la Communauté économique des États de l'Afrique centrale (CEEAC), influencent également la législation et les politiques régionales relatives à la gouvernance des ressources naturelles, à la conservation transfrontalière et à la résilience climatique. Ces institutions offrent à l'AICA l'opportunité de plaider en faveur d'une reconnaissance juridique renforcée des peuples autochtones, d'une harmonisation des politiques régionales, d'une responsabilisation accrue quant au respect des droits humains et d'une meilleure intégration des priorités autochtones dans les cadres de développement continentaux.</w:t>
      </w:r>
    </w:p>
    <w:p w14:paraId="7EB52BA4"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Un meilleur accès aux mécanismes internationaux de défense des droits de l'homme</w:t>
      </w:r>
    </w:p>
    <w:p w14:paraId="07583AF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mécanismes internationaux de défense des droits humains continuent d'offrir d'importantes plateformes permettant aux peuples autochtones d'exprimer leurs préoccupations, de documenter les violations et d'influencer les débats politiques mondiaux. Des organismes tels que l'Instance permanente des Nations Unies sur les questions autochtones (IPNUIA), le Mécanisme d'experts sur les droits des peuples autochtones (MEDPA), le Rapporteur spécial des Nations Unies sur les droits des peuples autochtones, le processus d'Examen périodique universel (EPU) et d'autres mécanismes conventionnels offrent de précieuses opportunités pour amplifier les perspectives des peuples autochtones africains.</w:t>
      </w:r>
    </w:p>
    <w:p w14:paraId="5EDA463B"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renforcera la participation coordonnée à ces mécanismes en appuyant les soumissions conjointes, les déclarations de politique générale, les événements parallèles et l’engagement stratégique auprès des rapporteurs spéciaux et des agences compétentes des Nations Unies. L’Alliance utilisera également ces plateformes pour plaider en faveur de la mise en œuvre des engagements internationaux, notamment la ratification de la Convention n° 169 de l’OIT le cas échéant, l’intégration de la Déclaration des Nations Unies sur les droits des peuples autochtones (DNUDPA) dans le droit national et une protection renforcée des défenseurs des droits des peuples autochtones.</w:t>
      </w:r>
    </w:p>
    <w:p w14:paraId="76C529FC"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Réformer le financement du climat et de la biodiversité</w:t>
      </w:r>
    </w:p>
    <w:p w14:paraId="04E89F9D"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Les discussions internationales sur le financement de la lutte contre le changement climatique et la dégradation de la biodiversité reconnaissent de plus en plus que les fonds devraient parvenir directement aux peuples autochtones et aux communautés locales, sans passer par de multiples intermédiaires. Les bailleurs de fonds internationaux, les fondations philanthropiques et les mécanismes de financement environnemental ont commencé à explorer des modèles de financement plus inclusifs qui renforcent l'appropriation et la prise de décision par les communautés.</w:t>
      </w:r>
    </w:p>
    <w:p w14:paraId="0ECB34D6" w14:textId="0042E9D9"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Cela représente une occasion importante pour l'AICA de plaider en faveur de systèmes de financement accessibles, flexibles et adaptés aux priorités des communautés. L'Alliance collaborera avec les bailleurs de fonds bilatéraux et multilatéraux, les fonds pour le climat et la biodiversité ainsi que les organisations philanthropiques afin de promouvoir le financement direct des organisations autochtones, la simplification des procédures de financement et une plus grande transparence dans l'allocation des ressources. L'AICA soutiendra également ses organisations membres dans le renforcement de leurs capacités institutionnelles, leur permettant ainsi d'accéder directement aux financements et de les gérer, tout en démontrant leur responsabilité et un impact mesurable.</w:t>
      </w:r>
    </w:p>
    <w:p w14:paraId="24B6B881"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Reconnaissance croissante des savoirs autochtones</w:t>
      </w:r>
    </w:p>
    <w:p w14:paraId="10D100A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reconnaissance croissante des systèmes de connaissances autochtones dans la gouvernance environnementale crée une nouvelle opportunité stratégique. Les agences internationales, les instituts de recherche et les universités accordent une importance accrue à l'intégration des savoirs écologiques traditionnels dans la conservation de la biodiversité, l'adaptation au changement climatique et la gestion durable des terres.</w:t>
      </w:r>
    </w:p>
    <w:p w14:paraId="3D12238A"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reconnaissance croissante s'inscrit pleinement dans l'engagement de l'AICA à protéger les savoirs, les langues et le patrimoine culturel autochtones. L'Alliance s'efforcera donc de garantir que les savoirs autochtones soient reconnus comme une source de données légitime et égale dans les processus d'élaboration des politiques, tout en soutenant la documentation, la recherche et la transmission intergénérationnelle des connaissances menées par les communautés.</w:t>
      </w:r>
    </w:p>
    <w:p w14:paraId="49CB0E18"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Implications pour la stratégie de plaidoyer de l'AICA</w:t>
      </w:r>
    </w:p>
    <w:p w14:paraId="2D839F58" w14:textId="21447E4F"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Pris ensemble, ces développements démontrent que les années à venir offrent une occasion unique de promouvoir les droits et le leadership des peuples autochtones et des </w:t>
      </w:r>
      <w:r w:rsidRPr="00B96ADF">
        <w:rPr>
          <w:rFonts w:ascii="Cambria" w:hAnsi="Cambria" w:cstheme="minorHAnsi"/>
          <w:sz w:val="24"/>
          <w:szCs w:val="24"/>
          <w:lang/>
        </w:rPr>
        <w:lastRenderedPageBreak/>
        <w:t>communautés locales à travers l'Afrique. Cependant, les opportunités seules ne suffiront pas à engendrer un changement significatif. Il est indispensable de mener un plaidoyer soutenu, de coordonner stratégiquement les actions et de pouvoir s'engager efficacement dans les processus de gouvernance locaux, nationaux, régionaux et mondiaux. L'avantage comparatif de l'AICA réside dans sa capacité à relier les expériences communautaires aux débats politiques continentaux et internationaux. En rassemblant les témoignages de ses membres, en facilitant l'action collective et en collaborant stratégiquement avec les principaux décideurs, l'Alliance peut contribuer à garantir que les politiques et les investissements émergents reflètent les voix, les priorités et les aspirations des peuples autochtones et des communautés locales.</w:t>
      </w:r>
    </w:p>
    <w:p w14:paraId="2D84D12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stratégie vise donc non seulement à répondre aux défis actuels, mais aussi à positionner l'AICA pour saisir ces nouvelles opportunités et renforcer son rôle de plateforme leader en Afrique pour le plaidoyer mené par les populations autochtones, l'influence politique et la conservation axée sur la communauté.</w:t>
      </w:r>
    </w:p>
    <w:p w14:paraId="5264C048"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8" w:name="_Toc234795833"/>
      <w:r w:rsidRPr="00B96ADF">
        <w:rPr>
          <w:rFonts w:ascii="Cambria" w:hAnsi="Cambria" w:cstheme="minorHAnsi"/>
          <w:b/>
          <w:bCs/>
          <w:color w:val="auto"/>
          <w:sz w:val="24"/>
          <w:szCs w:val="24"/>
          <w:lang/>
        </w:rPr>
        <w:t>2.4 Analyse des parties prenantes et de l'économie politique</w:t>
      </w:r>
      <w:bookmarkEnd w:id="8"/>
    </w:p>
    <w:p w14:paraId="7E317A1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Pour parvenir à un changement significatif et durable pour les peuples autochtones et les communautés locales, il ne suffit pas d'identifier les priorités politiques. Il est essentiel de bien comprendre les institutions qui façonnent les décisions, les intérêts qui les influencent et les dynamiques politiques, économiques et sociales qui déterminent l'adoption et la mise en œuvre des réformes. Pour l'AICA, le plaidoyer doit donc s'appuyer sur une compréhension du contexte politico-économique plus large dans lequel se négocient les politiques de conservation, de gouvernance foncière, d'action climatique et de développement.</w:t>
      </w:r>
    </w:p>
    <w:p w14:paraId="4B25F92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Partout en Afrique, les décisions qui affectent les peuples autochtones et les communautés locales sont influencées par une grande diversité d'acteurs dont les intérêts convergent souvent, mais peuvent aussi diverger. Les gouvernements recherchent la croissance économique par le biais d'investissements dans les infrastructures, l'agriculture, les mines et le développement énergétique. Les organisations de conservation se concentrent sur la protection de la biodiversité et l'extension des aires protégées. Les partenaires au développement s'efforcent de faire progresser les engagements en matière de climat et de développement durable, tandis que les acteurs du secteur privé recherchent des opportunités commerciales liées aux </w:t>
      </w:r>
      <w:r w:rsidRPr="00B96ADF">
        <w:rPr>
          <w:rFonts w:ascii="Cambria" w:hAnsi="Cambria" w:cstheme="minorHAnsi"/>
          <w:sz w:val="24"/>
          <w:szCs w:val="24"/>
          <w:lang/>
        </w:rPr>
        <w:lastRenderedPageBreak/>
        <w:t>ressources naturelles, aux marchés du carbone et aux investissements verts. Les peuples autochtones et les communautés locales, quant à eux, revendiquent la sécurité de leurs droits fonciers, la reconnaissance de leurs systèmes de gouvernance, une participation équitable à la prise de décision et la protection de leurs cultures et de leurs moyens de subsistance.</w:t>
      </w:r>
    </w:p>
    <w:p w14:paraId="0F63B345"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Gouvernements nationaux</w:t>
      </w:r>
    </w:p>
    <w:p w14:paraId="7EE1229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gouvernements nationaux demeurent les acteurs les plus influents dans la définition du cadre juridique et politique qui touche les peuples autochtones et les communautés locales. Par le biais des constitutions, des lois et des politiques publiques, ils déterminent la répartition des terres, la création des aires protégées, la gestion des ressources naturelles et la mise en œuvre des engagements internationaux.</w:t>
      </w:r>
    </w:p>
    <w:p w14:paraId="1DFA35A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Dans de nombreux pays, les gouvernements sont confrontés à des priorités contradictoires. D'une part, ils doivent respecter leurs engagements en matière de conservation de la biodiversité, de lutte contre le changement climatique et de droits humains. D'autre part, ils cherchent à attirer les investissements, à développer les infrastructures et à stimuler la croissance économique, souvent par des activités qui accroissent la pression sur les terres communautaires et les ressources naturelles. Ces objectifs concurrents peuvent engendrer des incohérences politiques ou des tensions entre conservation, développement et droits des peuples autochtones.</w:t>
      </w:r>
    </w:p>
    <w:p w14:paraId="22EA413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Plutôt que de considérer les gouvernements uniquement comme des cibles de plaidoyer, l’AICA les impliquera comme des partenaires essentiels dans l’élaboration de solutions politiques concrètes et fondées sur les droits. Cet engagement portera sur le renforcement de la législation, l’amélioration de la mise en œuvre des engagements existants, la promotion d’une participation réelle des peuples autochtones et des communautés locales à la prise de décision et l’accompagnement des institutions gouvernementales dans l’adoption d’approches plus inclusives en matière de conservation et de gouvernance des ressources naturelles.</w:t>
      </w:r>
    </w:p>
    <w:p w14:paraId="0FD5594A"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Institutions régionales</w:t>
      </w:r>
    </w:p>
    <w:p w14:paraId="06CF321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Les institutions régionales jouent un rôle de plus en plus important dans l'élaboration des politiques en Afrique. L'Union africaine assure un leadership politique sur les questions relatives au développement durable, à la biodiversité, à la gouvernance foncière et à la </w:t>
      </w:r>
      <w:r w:rsidRPr="00B96ADF">
        <w:rPr>
          <w:rFonts w:ascii="Cambria" w:hAnsi="Cambria" w:cstheme="minorHAnsi"/>
          <w:sz w:val="24"/>
          <w:szCs w:val="24"/>
          <w:lang/>
        </w:rPr>
        <w:lastRenderedPageBreak/>
        <w:t>résilience climatique, tandis que la Commission africaine des droits de l'homme et des peuples continue de promouvoir les normes relatives aux droits des peuples autochtones et à la justice environnementale.</w:t>
      </w:r>
    </w:p>
    <w:p w14:paraId="55C17DC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communautés économiques régionales influencent également les politiques relatives aux écosystèmes transfrontaliers, à la mobilité pastorale, à la gouvernance des ressources naturelles et à la planification du développement régional. Bien que ces institutions ne mettent pas directement en œuvre de programmes au niveau local, elles établissent des normes et des cadres politiques régionaux qui influencent la législation nationale et favorisent une action concertée entre les pays.</w:t>
      </w:r>
    </w:p>
    <w:p w14:paraId="7B0280C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l’AICA réside dans son rayonnement continental. Représentant des membres de toute l’Afrique, l’Alliance est bien placée pour influencer les institutions régionales par le biais du dialogue politique, de contributions techniques, de la participation à des forums régionaux et de la collaboration avec d’autres réseaux continentaux.</w:t>
      </w:r>
    </w:p>
    <w:p w14:paraId="2A130B17"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Institutions internationales</w:t>
      </w:r>
    </w:p>
    <w:p w14:paraId="268EA388" w14:textId="49E1D909"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institutions internationales influencent de plus en plus les politiques nationales de conservation, de climat et de développement par le biais de financements, d'assistance technique et d'accords internationaux. Les décisions prises dans le cadre de la Convention sur la diversité biologique, de la Convention-cadre des Nations Unies sur les changements climatiques et d'autres processus multilatéraux ont une incidence directe sur les politiques nationales relatives aux aires protégées, à la conservation de la biodiversité, aux marchés du carbone et au financement climatique. De même, des institutions telles que la Banque mondiale, le Fonds pour l'environnement mondial, le Fonds vert pour le climat et les principaux bailleurs de fonds bilatéraux influent sur la conception et le financement de programmes de grande envergure ayant un impact sur les territoires autochtones.</w:t>
      </w:r>
    </w:p>
    <w:p w14:paraId="492452A0"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L’AICA collaborera avec ces institutions afin de promouvoir des garanties renforcées pour les peuples autochtones et les communautés locales, de plaider en faveur de mécanismes de financement équitables et de veiller à ce que les perspectives des populations autochtones africaines soient prises en compte dans les processus d’élaboration des politiques mondiales. Les mécanismes de collaboration prioritaires comprennent la soumission coordonnée de propositions politiques, la participation à des conférences </w:t>
      </w:r>
      <w:r w:rsidRPr="00B96ADF">
        <w:rPr>
          <w:rFonts w:ascii="Cambria" w:hAnsi="Cambria" w:cstheme="minorHAnsi"/>
          <w:sz w:val="24"/>
          <w:szCs w:val="24"/>
          <w:lang/>
        </w:rPr>
        <w:lastRenderedPageBreak/>
        <w:t>internationales, le dialogue stratégique et la collaboration avec les représentants autochtones participant aux processus des Nations Unies.</w:t>
      </w:r>
    </w:p>
    <w:p w14:paraId="1182A323"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Organisations de conservation</w:t>
      </w:r>
    </w:p>
    <w:p w14:paraId="5BB9357A"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organisations de conservation demeurent parmi les acteurs les plus influents de la gouvernance de la biodiversité en Afrique. Elles apportent des ressources financières et techniques considérables aux programmes de conservation et collaborent souvent étroitement avec les gouvernements à la création et à la gestion des aires protégées.</w:t>
      </w:r>
    </w:p>
    <w:p w14:paraId="6349E76A" w14:textId="3267DF6E"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nombreuses organisations de conservation ont pris des engagements importants en faveur d'une conservation fondée sur les droits et de la participation communautaire. Toutefois, leur mise en œuvre demeure inégale et des préoccupations persistent quant aux pratiques de conservation excluant les populations autochtones, à l'insuffisance des consultations et à la reconnaissance limitée des systèmes de gouvernance coutumiers. Plutôt que d'adopter une approche purement conflictuelle, l'AICA privilégiera un dialogue de principe avec les organisations de conservation. Lorsque les partenariats contribuent à la promotion des droits des peuples autochtones et à la conservation menée par les communautés, l'Alliance recherchera une collaboration constructive. Lorsque des politiques ou des pratiques portent atteinte aux droits des communautés, l'AICA plaidera en faveur de réformes par le dialogue, la production de données probantes, la mobilisation du public et, le cas échéant, par des mécanismes de responsabilisation.</w:t>
      </w:r>
    </w:p>
    <w:p w14:paraId="253FB2E3"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Société civile et réseaux autochtones</w:t>
      </w:r>
    </w:p>
    <w:p w14:paraId="17BE7F17"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organisations de la société civile, les mouvements sociaux et les réseaux autochtones comptent parmi les alliés les plus importants de l'AICA . Ils apportent une expertise complémentaire en matière de droits humains, d'autonomisation juridique, d'égalité des sexes, de gouvernance environnementale, de recherche et de communication, tout en renforçant le plaidoyer collectif aux niveaux national, régional et international.</w:t>
      </w:r>
    </w:p>
    <w:p w14:paraId="021E59EB"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mise en place de larges coalitions permettra à l'AICA d'amplifier ses messages de plaidoyer, de coordonner ses campagnes et de renforcer sa représentation au sein des processus politiques régionaux et mondiaux. Parallèlement, l'Alliance conservera son identité propre d'organisation dirigée par des membres autochtones, garantissant ainsi que la voix des communautés demeure au cœur de toutes les initiatives collaboratives.</w:t>
      </w:r>
    </w:p>
    <w:p w14:paraId="616C4790"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lastRenderedPageBreak/>
        <w:t>Partenaires de développement et fondations philanthropiques</w:t>
      </w:r>
    </w:p>
    <w:p w14:paraId="12024C30"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partenaires au développement et les organisations philanthropiques exercent une influence croissante sur les politiques de conservation et de lutte contre le changement climatique grâce à leur soutien financier, leur assistance technique et leur engagement dans le dialogue politique. Les donateurs reconnaissent également de plus en plus la nécessité d'un financement plus direct et plus flexible pour les peuples autochtones et les communautés locales.</w:t>
      </w:r>
    </w:p>
    <w:p w14:paraId="7D3194FE"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 changement offre à l’AICA l’occasion d’influencer les politiques des donateurs, de plaider en faveur de mécanismes de financement simplifiés et d’encourager l’investissement dans les institutions autochtones plutôt que dans des organisations intermédiaires. Son engagement auprès des donateurs s’étendra au-delà de la mobilisation des ressources pour inclure un dialogue politique sur le financement équitable, le leadership communautaire et la redevabilité.</w:t>
      </w:r>
    </w:p>
    <w:p w14:paraId="722DC005"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Secteur privé</w:t>
      </w:r>
    </w:p>
    <w:p w14:paraId="602C6172"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 secteur privé est de plus en plus présent dans des secteurs tels que les mines, les énergies renouvelables, l'agriculture, le tourisme et les marchés du carbone. Si les investissements privés peuvent contribuer au développement économique, ils peuvent aussi engendrer des conflits fonciers, une dégradation de l'environnement et des violations des droits des communautés en l'absence de garanties appropriées.</w:t>
      </w:r>
    </w:p>
    <w:p w14:paraId="21A3465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défendra des pratiques commerciales responsables, fondées sur les normes environnementales et relatives aux droits humains reconnues internationalement. Parmi les enjeux prioritaires figurent le consentement libre, préalable et éclairé, la transparence, le devoir de vigilance en matière de droits humains, le partage équitable des avantages et l’accès aux mécanismes de règlement des griefs. Un dialogue constructif avec les acteurs responsables du secteur privé sera également encouragé lorsqu’il contribue au bien-être des communautés et à la gestion durable des ressources.</w:t>
      </w:r>
    </w:p>
    <w:p w14:paraId="0FCDDE48"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Les peuples autochtones et les communautés locales comme moteurs du changement</w:t>
      </w:r>
    </w:p>
    <w:p w14:paraId="67D53AD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Les acteurs les plus importants de la stratégie de plaidoyer de l'AICA sont ses propres membres. Les peuples autochtones et les communautés locales ne sont pas de simples </w:t>
      </w:r>
      <w:r w:rsidRPr="00B96ADF">
        <w:rPr>
          <w:rFonts w:ascii="Cambria" w:hAnsi="Cambria" w:cstheme="minorHAnsi"/>
          <w:sz w:val="24"/>
          <w:szCs w:val="24"/>
          <w:lang/>
        </w:rPr>
        <w:lastRenderedPageBreak/>
        <w:t>bénéficiaires des efforts de plaidoyer ; ils en sont les principaux moteurs. Leurs connaissances, leur leadership, leur expérience vécue et leur action collective confèrent à l'AICA sa légitimité et les preuves nécessaires à la défense de ses intérêts.</w:t>
      </w:r>
    </w:p>
    <w:p w14:paraId="7A3FE76E"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L’Alliance investira donc dans le renforcement de ses organisations membres, le soutien à la recherche et au plaidoyer menés par les communautés, la facilitation de l’apprentissage entre pairs et la création d’opportunités permettant aux communautés d’interagir directement avec les décideurs nationaux, régionaux et internationaux. Cette approche témoigne de l’engagement de l’AICA à faire en sorte que le plaidoyer soit une initiative locale et non imposée par des institutions extérieures.</w:t>
      </w:r>
    </w:p>
    <w:p w14:paraId="1DC368D1" w14:textId="77777777" w:rsidR="00BF36FD" w:rsidRPr="00B96ADF" w:rsidRDefault="00BF36FD" w:rsidP="00B96ADF">
      <w:pPr>
        <w:spacing w:line="360" w:lineRule="auto"/>
        <w:jc w:val="both"/>
        <w:rPr>
          <w:rFonts w:ascii="Cambria" w:hAnsi="Cambria" w:cstheme="minorHAnsi"/>
          <w:sz w:val="24"/>
          <w:szCs w:val="24"/>
          <w:lang/>
        </w:rPr>
      </w:pPr>
    </w:p>
    <w:p w14:paraId="4F16888B" w14:textId="7B6F2173" w:rsidR="00BF36FD" w:rsidRPr="00B96ADF" w:rsidRDefault="00BF36FD" w:rsidP="00B96ADF">
      <w:pPr>
        <w:pStyle w:val="Titre1"/>
        <w:spacing w:line="360" w:lineRule="auto"/>
        <w:rPr>
          <w:rFonts w:ascii="Cambria" w:hAnsi="Cambria" w:cstheme="minorHAnsi"/>
          <w:b/>
          <w:bCs/>
          <w:color w:val="auto"/>
          <w:sz w:val="24"/>
          <w:szCs w:val="24"/>
          <w:lang/>
        </w:rPr>
      </w:pPr>
      <w:bookmarkStart w:id="9" w:name="_Toc234795834"/>
      <w:r w:rsidRPr="00B96ADF">
        <w:rPr>
          <w:rFonts w:ascii="Cambria" w:hAnsi="Cambria" w:cstheme="minorHAnsi"/>
          <w:b/>
          <w:bCs/>
          <w:color w:val="auto"/>
          <w:sz w:val="24"/>
          <w:szCs w:val="24"/>
          <w:lang/>
        </w:rPr>
        <w:t>3.0 Mission</w:t>
      </w:r>
      <w:bookmarkEnd w:id="9"/>
    </w:p>
    <w:p w14:paraId="2E810D0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Unir, renforcer et amplifier la voix des peuples autochtones et des communautés locales à travers l'Afrique grâce à un plaidoyer collectif, des partenariats stratégiques, un engagement politique fondé sur des données probantes, la construction de mouvements et l'échange de connaissances, tout en promouvant la conservation fondée sur les droits, la sécurité foncière et le développement durable mené par les communautés.</w:t>
      </w:r>
    </w:p>
    <w:p w14:paraId="182DC241" w14:textId="2B63C934"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l'AICA reflète son rôle d'alliance continentale qui relie les expériences communautaires aux processus politiques nationaux, régionaux et mondiaux. L'Alliance a pour vocation de renforcer les capacités et l'influence de ses membres, de coordonner l'action collective et de créer des opportunités pour les peuples autochtones et les communautés locales de participer aux décisions qui les concernent. L'Alliance poursuivra cette mission en renforçant la solidarité entre ses membres, en promouvant des réformes politiques, en soutenant le leadership communautaire, en nouant des alliances stratégiques et en veillant à ce que les perspectives autochtones soient représentées à tous les niveaux dans les processus de conservation, de climat et de développement.</w:t>
      </w:r>
    </w:p>
    <w:p w14:paraId="4C100167" w14:textId="04F8793F" w:rsidR="00BF36FD" w:rsidRPr="00B96ADF" w:rsidRDefault="00BF36FD" w:rsidP="00B96ADF">
      <w:pPr>
        <w:pStyle w:val="Titre2"/>
        <w:spacing w:line="360" w:lineRule="auto"/>
        <w:rPr>
          <w:rFonts w:ascii="Cambria" w:hAnsi="Cambria" w:cstheme="minorHAnsi"/>
          <w:b/>
          <w:bCs/>
          <w:color w:val="auto"/>
          <w:sz w:val="24"/>
          <w:szCs w:val="24"/>
          <w:lang/>
        </w:rPr>
      </w:pPr>
      <w:bookmarkStart w:id="10" w:name="_Toc234795835"/>
      <w:r w:rsidRPr="00B96ADF">
        <w:rPr>
          <w:rFonts w:ascii="Cambria" w:hAnsi="Cambria" w:cstheme="minorHAnsi"/>
          <w:b/>
          <w:bCs/>
          <w:color w:val="auto"/>
          <w:sz w:val="24"/>
          <w:szCs w:val="24"/>
          <w:lang/>
        </w:rPr>
        <w:t xml:space="preserve">3.1 Avantage comparatif </w:t>
      </w:r>
      <w:bookmarkEnd w:id="10"/>
      <w:r w:rsidRPr="00B96ADF">
        <w:rPr>
          <w:rFonts w:ascii="Cambria" w:hAnsi="Cambria" w:cstheme="minorHAnsi"/>
          <w:b/>
          <w:bCs/>
          <w:color w:val="auto"/>
          <w:sz w:val="24"/>
          <w:szCs w:val="24"/>
          <w:lang/>
        </w:rPr>
        <w:t>de l'AICA</w:t>
      </w:r>
    </w:p>
    <w:p w14:paraId="1D12A882"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 paysage du plaidoyer en Afrique comprend de nombreuses organisations œuvrant pour les droits humains, la conservation, le changement climatique, la gouvernance foncière et le développement durable. Si nombre d'entre elles ont contribué de manière </w:t>
      </w:r>
      <w:r w:rsidRPr="00B96ADF">
        <w:rPr>
          <w:rFonts w:ascii="Cambria" w:hAnsi="Cambria" w:cstheme="minorHAnsi"/>
          <w:sz w:val="24"/>
          <w:szCs w:val="24"/>
          <w:lang/>
        </w:rPr>
        <w:lastRenderedPageBreak/>
        <w:t>significative à la promotion des droits des peuples autochtones, l'AICA occupe une place unique dans ce contexte.</w:t>
      </w:r>
    </w:p>
    <w:p w14:paraId="6FD73FC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l'AICA réside dans son identité d'alliance continentale dirigée par les peuples autochtones et les communautés locales elles-mêmes. Sa légitimité repose sur l'expérience vécue, le leadership et les aspirations de ses membres, et non sur des mandats extérieurs ou des interventions ponctuelles. Cela confère à l'Alliance une capacité unique à exprimer les priorités des communautés avec crédibilité et authenticité.</w:t>
      </w:r>
    </w:p>
    <w:p w14:paraId="7CC5710B" w14:textId="34820AD5"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Contrairement aux organisations œuvrant dans un seul domaine thématique ou un seul pays, l'AICA offre une plateforme reliant les réalités locales aux processus politiques continentaux et mondiaux. Les expériences communautaires de différentes régions peuvent être mises en commun afin d'identifier les défis communs, d'élaborer des positions de plaidoyer partagées et d'influencer les institutions qui façonnent les politiques de conservation, de gouvernance foncière et de climat en Afrique. L'Alliance est également idéalement placée pour faire le lien entre de multiples secteurs qui ont traditionnellement fonctionné de manière isolée. Les questions relatives aux droits fonciers, à la conservation de la biodiversité, à l'action climatique, aux savoirs autochtones, au patrimoine culturel, aux droits humains et aux moyens de subsistance durables sont profondément interdépendantes. L'approche intégrée de l'AICA lui permet d'aborder ces questions de manière holistique, reconnaissant que des solutions durables nécessitent une action coordonnée entre les secteurs et les niveaux de gouvernance.</w:t>
      </w:r>
    </w:p>
    <w:p w14:paraId="3D8EB586"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l'AICA réside dans sa capacité à rassembler divers acteurs. Plateforme de confiance, l'Alliance facilite le dialogue entre les organisations autochtones, les gouvernements, les organismes de conservation, les partenaires au développement, les institutions de recherche et les instances régionales, tout en veillant à ce que la voix des Autochtones demeure au cœur des discussions. Ce rôle de rassembleur renforce les possibilités de collaboration, de plaidoyer conjoint et de réforme des politiques.</w:t>
      </w:r>
    </w:p>
    <w:p w14:paraId="26D6995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L’Alliance sert également de plateforme continentale de connaissances. Par la documentation des expériences communautaires, l’analyse des politiques, la recherche et les échanges d’apprentissage, l’AICA fournit des données probantes qui renforcent le plaidoyer tout en promouvant les systèmes de connaissances autochtones comme </w:t>
      </w:r>
      <w:r w:rsidRPr="00B96ADF">
        <w:rPr>
          <w:rFonts w:ascii="Cambria" w:hAnsi="Cambria" w:cstheme="minorHAnsi"/>
          <w:sz w:val="24"/>
          <w:szCs w:val="24"/>
          <w:lang/>
        </w:rPr>
        <w:lastRenderedPageBreak/>
        <w:t>fondement essentiel de la conservation de la biodiversité, de la résilience climatique et de la gouvernance durable des ressources naturelles.</w:t>
      </w:r>
    </w:p>
    <w:p w14:paraId="494FD18D" w14:textId="5809F790" w:rsidR="00BF36FD" w:rsidRPr="00B96ADF" w:rsidRDefault="00BF36FD" w:rsidP="00B96ADF">
      <w:pPr>
        <w:pStyle w:val="Titre2"/>
        <w:spacing w:line="360" w:lineRule="auto"/>
        <w:rPr>
          <w:rFonts w:ascii="Cambria" w:hAnsi="Cambria" w:cstheme="minorHAnsi"/>
          <w:b/>
          <w:bCs/>
          <w:color w:val="auto"/>
          <w:sz w:val="24"/>
          <w:szCs w:val="24"/>
          <w:lang/>
        </w:rPr>
      </w:pPr>
      <w:bookmarkStart w:id="11" w:name="_Toc234795836"/>
      <w:r w:rsidRPr="00B96ADF">
        <w:rPr>
          <w:rFonts w:ascii="Cambria" w:hAnsi="Cambria" w:cstheme="minorHAnsi"/>
          <w:b/>
          <w:bCs/>
          <w:color w:val="auto"/>
          <w:sz w:val="24"/>
          <w:szCs w:val="24"/>
          <w:lang/>
        </w:rPr>
        <w:t xml:space="preserve">3.2 Positionnement stratégique </w:t>
      </w:r>
      <w:bookmarkEnd w:id="11"/>
      <w:r w:rsidRPr="00B96ADF">
        <w:rPr>
          <w:rFonts w:ascii="Cambria" w:hAnsi="Cambria" w:cstheme="minorHAnsi"/>
          <w:b/>
          <w:bCs/>
          <w:color w:val="auto"/>
          <w:sz w:val="24"/>
          <w:szCs w:val="24"/>
          <w:lang/>
        </w:rPr>
        <w:t>de l'AICA</w:t>
      </w:r>
    </w:p>
    <w:p w14:paraId="1626ED0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se positionne comme la principale alliance africaine dirigée par les autochtones pour influencer les politiques, construire des mouvements et promouvoir la conservation fondée sur les droits.</w:t>
      </w:r>
    </w:p>
    <w:p w14:paraId="6E5F36F2"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Son rôle est de renforcer la voix collective des peuples autochtones et des communautés locales tout en influençant les politiques, les institutions et les investissements qui façonnent la conservation, la gouvernance foncière, l'action climatique et le développement durable sur l'ensemble du continent.</w:t>
      </w:r>
    </w:p>
    <w:p w14:paraId="55CBDE3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Sur la période 2026-2030, l’AICA se positionnera comme :</w:t>
      </w:r>
    </w:p>
    <w:p w14:paraId="0918F160" w14:textId="77777777" w:rsidR="00BF36FD" w:rsidRPr="00B96ADF" w:rsidRDefault="00BF36FD" w:rsidP="00B96ADF">
      <w:pPr>
        <w:numPr>
          <w:ilvl w:val="0"/>
          <w:numId w:val="1"/>
        </w:numPr>
        <w:spacing w:line="360" w:lineRule="auto"/>
        <w:jc w:val="both"/>
        <w:rPr>
          <w:rFonts w:ascii="Cambria" w:hAnsi="Cambria" w:cstheme="minorHAnsi"/>
          <w:sz w:val="24"/>
          <w:szCs w:val="24"/>
          <w:lang/>
        </w:rPr>
      </w:pPr>
      <w:r w:rsidRPr="00B96ADF">
        <w:rPr>
          <w:rFonts w:ascii="Cambria" w:hAnsi="Cambria" w:cstheme="minorHAnsi"/>
          <w:sz w:val="24"/>
          <w:szCs w:val="24"/>
          <w:lang/>
        </w:rPr>
        <w:t>Une plateforme continentale de plaidoyer qui coordonne l'engagement politique au sein des institutions africaines et internationales.</w:t>
      </w:r>
    </w:p>
    <w:p w14:paraId="1CF099FD" w14:textId="77777777" w:rsidR="00BF36FD" w:rsidRPr="00B96ADF" w:rsidRDefault="00BF36FD" w:rsidP="00B96ADF">
      <w:pPr>
        <w:numPr>
          <w:ilvl w:val="0"/>
          <w:numId w:val="1"/>
        </w:numPr>
        <w:spacing w:line="360" w:lineRule="auto"/>
        <w:jc w:val="both"/>
        <w:rPr>
          <w:rFonts w:ascii="Cambria" w:hAnsi="Cambria" w:cstheme="minorHAnsi"/>
          <w:sz w:val="24"/>
          <w:szCs w:val="24"/>
          <w:lang/>
        </w:rPr>
      </w:pPr>
      <w:r w:rsidRPr="00B96ADF">
        <w:rPr>
          <w:rFonts w:ascii="Cambria" w:hAnsi="Cambria" w:cstheme="minorHAnsi"/>
          <w:sz w:val="24"/>
          <w:szCs w:val="24"/>
          <w:lang/>
        </w:rPr>
        <w:t>Une voix politique de confiance qui fournit des recommandations fondées sur des données probantes, éclairées par l'expérience communautaire et les connaissances autochtones.</w:t>
      </w:r>
    </w:p>
    <w:p w14:paraId="55503588" w14:textId="77777777" w:rsidR="00BF36FD" w:rsidRPr="00B96ADF" w:rsidRDefault="00BF36FD" w:rsidP="00B96ADF">
      <w:pPr>
        <w:numPr>
          <w:ilvl w:val="0"/>
          <w:numId w:val="1"/>
        </w:numPr>
        <w:spacing w:line="360" w:lineRule="auto"/>
        <w:jc w:val="both"/>
        <w:rPr>
          <w:rFonts w:ascii="Cambria" w:hAnsi="Cambria" w:cstheme="minorHAnsi"/>
          <w:sz w:val="24"/>
          <w:szCs w:val="24"/>
          <w:lang/>
        </w:rPr>
      </w:pPr>
      <w:r w:rsidRPr="00B96ADF">
        <w:rPr>
          <w:rFonts w:ascii="Cambria" w:hAnsi="Cambria" w:cstheme="minorHAnsi"/>
          <w:sz w:val="24"/>
          <w:szCs w:val="24"/>
          <w:lang/>
        </w:rPr>
        <w:t>Un organisme de mobilisation qui renforce la solidarité et l'action collective entre les peuples autochtones et les communautés locales à travers l'Afrique.</w:t>
      </w:r>
    </w:p>
    <w:p w14:paraId="01228C36" w14:textId="77777777" w:rsidR="00BF36FD" w:rsidRPr="00B96ADF" w:rsidRDefault="00BF36FD" w:rsidP="00B96ADF">
      <w:pPr>
        <w:numPr>
          <w:ilvl w:val="0"/>
          <w:numId w:val="1"/>
        </w:numPr>
        <w:spacing w:line="360" w:lineRule="auto"/>
        <w:jc w:val="both"/>
        <w:rPr>
          <w:rFonts w:ascii="Cambria" w:hAnsi="Cambria" w:cstheme="minorHAnsi"/>
          <w:sz w:val="24"/>
          <w:szCs w:val="24"/>
          <w:lang/>
        </w:rPr>
      </w:pPr>
      <w:r w:rsidRPr="00B96ADF">
        <w:rPr>
          <w:rFonts w:ascii="Cambria" w:hAnsi="Cambria" w:cstheme="minorHAnsi"/>
          <w:sz w:val="24"/>
          <w:szCs w:val="24"/>
          <w:lang/>
        </w:rPr>
        <w:t>Un acteur stratégique qui facilite le dialogue entre les communautés, les gouvernements, les organisations de conservation, les donateurs et les institutions régionales.</w:t>
      </w:r>
    </w:p>
    <w:p w14:paraId="25699304" w14:textId="77777777" w:rsidR="00BF36FD" w:rsidRPr="00B96ADF" w:rsidRDefault="00BF36FD" w:rsidP="00B96ADF">
      <w:pPr>
        <w:numPr>
          <w:ilvl w:val="0"/>
          <w:numId w:val="1"/>
        </w:numPr>
        <w:spacing w:line="360" w:lineRule="auto"/>
        <w:jc w:val="both"/>
        <w:rPr>
          <w:rFonts w:ascii="Cambria" w:hAnsi="Cambria" w:cstheme="minorHAnsi"/>
          <w:sz w:val="24"/>
          <w:szCs w:val="24"/>
          <w:lang/>
        </w:rPr>
      </w:pPr>
      <w:r w:rsidRPr="00B96ADF">
        <w:rPr>
          <w:rFonts w:ascii="Cambria" w:hAnsi="Cambria" w:cstheme="minorHAnsi"/>
          <w:sz w:val="24"/>
          <w:szCs w:val="24"/>
          <w:lang/>
        </w:rPr>
        <w:t>Un centre de connaissances et d'apprentissage qui produit, documente et partage des données probantes, des innovations et des solutions autochtones pour la conservation et le développement durable.</w:t>
      </w:r>
    </w:p>
    <w:p w14:paraId="5E39B80D" w14:textId="77777777" w:rsidR="00BF36FD" w:rsidRPr="00B96ADF" w:rsidRDefault="00BF36FD" w:rsidP="00B96ADF">
      <w:pPr>
        <w:numPr>
          <w:ilvl w:val="0"/>
          <w:numId w:val="1"/>
        </w:numPr>
        <w:spacing w:line="360" w:lineRule="auto"/>
        <w:jc w:val="both"/>
        <w:rPr>
          <w:rFonts w:ascii="Cambria" w:hAnsi="Cambria" w:cstheme="minorHAnsi"/>
          <w:sz w:val="24"/>
          <w:szCs w:val="24"/>
          <w:lang/>
        </w:rPr>
      </w:pPr>
      <w:r w:rsidRPr="00B96ADF">
        <w:rPr>
          <w:rFonts w:ascii="Cambria" w:hAnsi="Cambria" w:cstheme="minorHAnsi"/>
          <w:sz w:val="24"/>
          <w:szCs w:val="24"/>
          <w:lang/>
        </w:rPr>
        <w:t>Défenseur de la conservation fondée sur les droits, il promeut des approches qui garantissent les droits fonciers, reconnaissent les systèmes de gouvernance coutumiers et placent les communautés au centre de la protection de la biodiversité.</w:t>
      </w:r>
    </w:p>
    <w:p w14:paraId="33CDDA30" w14:textId="59E52E82" w:rsidR="00BF36FD" w:rsidRPr="00B96ADF" w:rsidRDefault="00BF36FD" w:rsidP="00B96ADF">
      <w:pPr>
        <w:pStyle w:val="Titre2"/>
        <w:spacing w:line="360" w:lineRule="auto"/>
        <w:rPr>
          <w:rFonts w:ascii="Cambria" w:hAnsi="Cambria" w:cstheme="minorHAnsi"/>
          <w:b/>
          <w:bCs/>
          <w:color w:val="auto"/>
          <w:sz w:val="24"/>
          <w:szCs w:val="24"/>
          <w:lang/>
        </w:rPr>
      </w:pPr>
      <w:bookmarkStart w:id="12" w:name="_Toc234795837"/>
      <w:r w:rsidRPr="00B96ADF">
        <w:rPr>
          <w:rFonts w:ascii="Cambria" w:hAnsi="Cambria" w:cstheme="minorHAnsi"/>
          <w:b/>
          <w:bCs/>
          <w:color w:val="auto"/>
          <w:sz w:val="24"/>
          <w:szCs w:val="24"/>
          <w:lang/>
        </w:rPr>
        <w:lastRenderedPageBreak/>
        <w:t>3.3 Théorie du changement</w:t>
      </w:r>
      <w:bookmarkEnd w:id="12"/>
    </w:p>
    <w:p w14:paraId="7B3826B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l'AICA repose sur la conviction que des résultats durables en matière de conservation, de résilience climatique et de développement durable ne peuvent être atteints que si les peuples autochtones et les communautés locales sont reconnus comme titulaires de droits, habilités à exercer leurs droits et capables d'influencer les décisions qui affectent leurs terres, leurs territoires, leurs ressources et leurs moyens de subsistance.</w:t>
      </w:r>
    </w:p>
    <w:p w14:paraId="34326565" w14:textId="658DA2F6"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Partout en Afrique, nombre des défis auxquels sont confrontés les peuples autochtones et les communautés locales, tels que la précarité foncière, la faible reconnaissance juridique, l'exclusion de la gouvernance, la perte des savoirs autochtones et l'accès inéquitable aux financements pour la conservation et le climat, sont les symptômes d'inégalités structurelles plus profondes. Ces inégalités sont renforcées par des cadres politiques qui ne reconnaissent pas suffisamment les systèmes de gouvernance coutumiers, une représentation limitée des voix autochtones dans les processus décisionnels et des rapports de force inégaux entre les communautés et les acteurs extérieurs.</w:t>
      </w:r>
    </w:p>
    <w:p w14:paraId="0C68939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Relever ces défis exige bien plus que des actions de plaidoyer isolées. Il est nécessaire de renforcer les institutions, le leadership, les connaissances et l’influence collective des peuples autochtones et des communautés locales, tout en créant des environnements politiques, juridiques et institutionnels favorables qui reconnaissent et protègent leurs droits.</w:t>
      </w:r>
    </w:p>
    <w:p w14:paraId="716F167C" w14:textId="09569E39"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de l’AICA repose donc sur la conviction que le changement durable se produit lorsque les communautés sont organisées, informées et connectées ; lorsque les gouvernements et les institutions sont à l’écoute et responsables ; et lorsque les politiques de conservation et de développement sont élaborées grâce à une participation significative. L’Alliance poursuivra cette transformation en renforçant le leadership communautaire, en produisant des données probantes crédibles, en nouant des partenariats stratégiques et en influençant les politiques aux niveaux national, régional et mondial. Ces interventions, qui se renforcent mutuellement, devraient créer un environnement où les peuples autochtones et les communautés locales peuvent sécuriser leurs terres, consolider leurs systèmes de gouvernance coutumière, participer activement à la prise de décision publique et contribuer pleinement à la conservation de la biodiversité et au développement durable.</w:t>
      </w:r>
    </w:p>
    <w:p w14:paraId="4DBE7919"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lastRenderedPageBreak/>
        <w:t>Voies du changement</w:t>
      </w:r>
    </w:p>
    <w:p w14:paraId="1F389D35" w14:textId="7CAD48D1"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Pour réaliser sa vision, l'AICA se concentrera sur les axes de changement suivants.</w:t>
      </w:r>
    </w:p>
    <w:p w14:paraId="59F3CE06"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b/>
          <w:bCs/>
          <w:sz w:val="24"/>
          <w:szCs w:val="24"/>
          <w:lang/>
        </w:rPr>
        <w:t>1. Des institutions autochtones plus fortes et mieux organisées</w:t>
      </w:r>
    </w:p>
    <w:p w14:paraId="793398DD"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Un plaidoyer efficace repose sur des institutions communautaires solides. L’AICA investira dans le renforcement des capacités organisationnelles, techniques et de leadership de ses membres afin de leur permettre de participer avec confiance aux processus de gouvernance, de dialoguer avec les décideurs politiques et de mobiliser l’action collective.</w:t>
      </w:r>
    </w:p>
    <w:p w14:paraId="4B7C4A9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 renforçant les organisations membres et en promouvant la collaboration entre les pays et les régions, l'Alliance construira un mouvement continental unifié, capable de répondre aux opportunités et aux défis émergents.</w:t>
      </w:r>
    </w:p>
    <w:p w14:paraId="7A45BFA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b/>
          <w:bCs/>
          <w:sz w:val="24"/>
          <w:szCs w:val="24"/>
          <w:lang/>
        </w:rPr>
        <w:t>2. Reconnaissance accrue des droits et de la gouvernance communautaire</w:t>
      </w:r>
    </w:p>
    <w:p w14:paraId="60D5F967"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s’efforcera d’influencer les réformes juridiques et politiques qui reconnaissent les peuples autochtones et les communautés locales comme des titulaires de droits légitimes, dotés de droits collectifs sur leurs terres, leurs territoires, leurs cultures et leurs ressources naturelles.</w:t>
      </w:r>
    </w:p>
    <w:p w14:paraId="0BCDC3F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 plaidoyer visera à renforcer la mise en œuvre des engagements juridiques existants tout en encourageant les gouvernements et les institutions régionales à adopter des politiques qui reconnaissent les systèmes de gouvernance coutumiers, respectent le consentement libre, préalable et éclairé (CLPE) et protègent les défenseurs des droits des peuples autochtones.</w:t>
      </w:r>
    </w:p>
    <w:p w14:paraId="6FE331D1" w14:textId="41EC0558"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b/>
          <w:bCs/>
          <w:sz w:val="24"/>
          <w:szCs w:val="24"/>
          <w:lang/>
        </w:rPr>
        <w:t>3. Gouvernance inclusive et responsable</w:t>
      </w:r>
    </w:p>
    <w:p w14:paraId="79FB1862"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L’Alliance promouvra des systèmes de gouvernance qui permettent aux peuples autochtones et aux communautés locales de participer de manière significative aux décisions touchant la conservation, la biodiversité, les changements climatiques et la gestion des ressources naturelles.</w:t>
      </w:r>
    </w:p>
    <w:p w14:paraId="30E35260"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Cela comprend une représentation accrue au sein des processus d'élaboration des politiques nationales, des institutions régionales et des négociations environnementales internationales, tout en renforçant la responsabilité des gouvernements, des </w:t>
      </w:r>
      <w:r w:rsidRPr="00B96ADF">
        <w:rPr>
          <w:rFonts w:ascii="Cambria" w:hAnsi="Cambria" w:cstheme="minorHAnsi"/>
          <w:sz w:val="24"/>
          <w:szCs w:val="24"/>
          <w:lang/>
        </w:rPr>
        <w:lastRenderedPageBreak/>
        <w:t>organisations de conservation, des institutions financières et des partenaires au développement.</w:t>
      </w:r>
    </w:p>
    <w:p w14:paraId="1BDC009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b/>
          <w:bCs/>
          <w:sz w:val="24"/>
          <w:szCs w:val="24"/>
          <w:lang/>
        </w:rPr>
        <w:t>4. Reconnaissance accrue des savoirs autochtones</w:t>
      </w:r>
    </w:p>
    <w:p w14:paraId="620EB6C1"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reconnaît que les connaissances autochtones constituent une ressource essentielle pour lutter contre la perte de biodiversité, les changements climatiques et assurer une gestion durable des ressources.</w:t>
      </w:r>
    </w:p>
    <w:p w14:paraId="6986028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L’Alliance soutiendra donc la recherche menée par les communautés, la documentation des systèmes de connaissances autochtones, la préservation des langues autochtones et une meilleure intégration des connaissances autochtones dans les politiques publiques, la planification de la conservation et la recherche scientifique.</w:t>
      </w:r>
    </w:p>
    <w:p w14:paraId="551BA48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 renforçant la visibilité et la crédibilité des savoirs autochtones, l’AICA contribuera à changer les perceptions concernant le rôle des peuples autochtones et des communautés locales dans la gouvernance environnementale.</w:t>
      </w:r>
    </w:p>
    <w:p w14:paraId="20846ED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b/>
          <w:bCs/>
          <w:sz w:val="24"/>
          <w:szCs w:val="24"/>
          <w:lang/>
        </w:rPr>
        <w:t>5. Un meilleur accès aux ressources et aux partenariats stratégiques</w:t>
      </w:r>
    </w:p>
    <w:p w14:paraId="139D221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communautés ont besoin d'un soutien financier, technique et institutionnel adéquat pour poursuivre leurs efforts de plaidoyer et mettre en œuvre des initiatives de conservation menées localement.</w:t>
      </w:r>
    </w:p>
    <w:p w14:paraId="0E31D37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plaidera en faveur de mécanismes de financement équitables permettant aux organisations autochtones d’accéder directement aux ressources, tout en renforçant les partenariats avec les gouvernements, les institutions régionales, les donateurs, les institutions de recherche et les organisations de conservation qui partagent un engagement envers la conservation fondée sur les droits.</w:t>
      </w:r>
    </w:p>
    <w:p w14:paraId="2889CFBA"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Ces partenariats élargiront les possibilités d'influence politique, d'apprentissage et d'investissement, tout en veillant à ce que les priorités communautaires restent au cœur de la conception et de la mise en œuvre des programmes.</w:t>
      </w:r>
    </w:p>
    <w:p w14:paraId="49F2CA18" w14:textId="7777777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Résultats attendus</w:t>
      </w:r>
    </w:p>
    <w:p w14:paraId="023FC50D"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Grâce à ces voies de changement, l'AICA prévoit de contribuer à plusieurs résultats à long terme tout au long de la durée de cette stratégie.</w:t>
      </w:r>
    </w:p>
    <w:p w14:paraId="63773E6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Les peuples autochtones et les communautés locales deviendront des acteurs plus forts et plus influents dans les processus politiques nationaux, régionaux et internationaux. Leurs organisations représentatives bénéficieront de capacités institutionnelles renforcées, d'un leadership plus affirmé et d'une plus grande aptitude à défendre les priorités de leurs communautés.</w:t>
      </w:r>
    </w:p>
    <w:p w14:paraId="70A164C9"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gouvernements et les institutions régionales reconnaîtront de plus en plus les droits des peuples autochtones dans leurs lois, politiques et cadres de conservation, ce qui se traduira par une meilleure protection des droits fonciers coutumiers, une plus grande participation à la prise de décision publique et une mise en œuvre plus efficace du consentement libre, préalable et éclairé.</w:t>
      </w:r>
    </w:p>
    <w:p w14:paraId="7AA4576C"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politiques et programmes de conservation adopteront de plus en plus des approches fondées sur les droits qui reconnaissent le leadership communautaire, renforcent les systèmes de gouvernance coutumiers et promeuvent un partage équitable des avantages découlant de la conservation de la biodiversité et de la gestion durable des ressources naturelles.</w:t>
      </w:r>
    </w:p>
    <w:p w14:paraId="0DBAB35D"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systèmes de connaissances, les langues et le patrimoine culturel autochtones bénéficieront d'une plus grande reconnaissance dans la recherche, l'éducation et la gouvernance environnementale, contribuant ainsi à des réponses plus inclusives et efficaces aux changements climatiques et à la perte de biodiversité.</w:t>
      </w:r>
    </w:p>
    <w:p w14:paraId="4E7FA44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Enfin, les organisations autochtones à travers l'Afrique bénéficieront d'un meilleur accès aux ressources financières, aux partenariats stratégiques et aux plateformes politiques, ce qui leur permettra de poursuivre leurs efforts de plaidoyer et de mener des initiatives locales de conservation et de développement.</w:t>
      </w:r>
    </w:p>
    <w:p w14:paraId="69A196A7" w14:textId="77777777" w:rsidR="00A333D9" w:rsidRPr="00B96ADF" w:rsidRDefault="00A333D9" w:rsidP="00B96ADF">
      <w:pPr>
        <w:spacing w:line="360" w:lineRule="auto"/>
        <w:jc w:val="both"/>
        <w:rPr>
          <w:rFonts w:ascii="Cambria" w:hAnsi="Cambria" w:cstheme="minorHAnsi"/>
          <w:sz w:val="24"/>
          <w:szCs w:val="24"/>
          <w:lang/>
        </w:rPr>
      </w:pPr>
    </w:p>
    <w:p w14:paraId="41264034" w14:textId="77777777" w:rsidR="00A333D9" w:rsidRPr="00B96ADF" w:rsidRDefault="00A333D9" w:rsidP="00B96ADF">
      <w:pPr>
        <w:spacing w:line="360" w:lineRule="auto"/>
        <w:jc w:val="both"/>
        <w:rPr>
          <w:rFonts w:ascii="Cambria" w:hAnsi="Cambria" w:cstheme="minorHAnsi"/>
          <w:sz w:val="24"/>
          <w:szCs w:val="24"/>
          <w:lang/>
        </w:rPr>
      </w:pPr>
    </w:p>
    <w:p w14:paraId="259C335E" w14:textId="77777777" w:rsidR="00A333D9" w:rsidRPr="00B96ADF" w:rsidRDefault="00A333D9" w:rsidP="00B96ADF">
      <w:pPr>
        <w:spacing w:line="360" w:lineRule="auto"/>
        <w:jc w:val="both"/>
        <w:rPr>
          <w:rFonts w:ascii="Cambria" w:hAnsi="Cambria" w:cstheme="minorHAnsi"/>
          <w:sz w:val="24"/>
          <w:szCs w:val="24"/>
          <w:lang/>
        </w:rPr>
      </w:pPr>
    </w:p>
    <w:p w14:paraId="5684BED4" w14:textId="77777777" w:rsidR="00A333D9" w:rsidRPr="00B96ADF" w:rsidRDefault="00A333D9" w:rsidP="00B96ADF">
      <w:pPr>
        <w:spacing w:line="360" w:lineRule="auto"/>
        <w:jc w:val="both"/>
        <w:rPr>
          <w:rFonts w:ascii="Cambria" w:hAnsi="Cambria" w:cstheme="minorHAnsi"/>
          <w:sz w:val="24"/>
          <w:szCs w:val="24"/>
          <w:lang/>
        </w:rPr>
      </w:pPr>
    </w:p>
    <w:p w14:paraId="61256228" w14:textId="746B6168" w:rsidR="00BF36FD" w:rsidRPr="00B96ADF" w:rsidRDefault="00BF36FD" w:rsidP="00B96ADF">
      <w:pPr>
        <w:pStyle w:val="Titre1"/>
        <w:spacing w:line="360" w:lineRule="auto"/>
        <w:rPr>
          <w:rFonts w:ascii="Cambria" w:hAnsi="Cambria" w:cstheme="minorHAnsi"/>
          <w:b/>
          <w:bCs/>
          <w:color w:val="auto"/>
          <w:sz w:val="24"/>
          <w:szCs w:val="24"/>
          <w:lang/>
        </w:rPr>
      </w:pPr>
      <w:bookmarkStart w:id="13" w:name="_Toc234795838"/>
      <w:r w:rsidRPr="00B96ADF">
        <w:rPr>
          <w:rFonts w:ascii="Cambria" w:hAnsi="Cambria" w:cstheme="minorHAnsi"/>
          <w:b/>
          <w:bCs/>
          <w:color w:val="auto"/>
          <w:sz w:val="24"/>
          <w:szCs w:val="24"/>
          <w:lang/>
        </w:rPr>
        <w:lastRenderedPageBreak/>
        <w:t>4. But et objectifs stratégiques</w:t>
      </w:r>
      <w:bookmarkEnd w:id="13"/>
    </w:p>
    <w:p w14:paraId="7233894C"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14" w:name="_Toc234795839"/>
      <w:r w:rsidRPr="00B96ADF">
        <w:rPr>
          <w:rFonts w:ascii="Cambria" w:hAnsi="Cambria" w:cstheme="minorHAnsi"/>
          <w:b/>
          <w:bCs/>
          <w:color w:val="auto"/>
          <w:sz w:val="24"/>
          <w:szCs w:val="24"/>
          <w:lang/>
        </w:rPr>
        <w:t>4.1 Objectif stratégique</w:t>
      </w:r>
      <w:bookmarkEnd w:id="14"/>
    </w:p>
    <w:p w14:paraId="3E27109C" w14:textId="06BBC8A9"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L’objectif de cette stratégie est de renforcer la voix collective, l’influence et le leadership des peuples autochtones et des communautés locales (PACL ) dans l’élaboration des politiques, des institutions et des investissements qui affectent leurs terres, leurs territoires, leurs ressources naturelles, leurs cultures et leurs moyens de subsistance à travers l’Afrique.</w:t>
      </w:r>
    </w:p>
    <w:p w14:paraId="7BB50F01"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Au cours des cinq prochaines années, l’AICA s’efforcera de faire en sorte que les peuples autochtones et les communautés locales soient reconnus non seulement comme des acteurs de la conservation et du développement, mais aussi comme des détenteurs de droits, de savoirs et des partenaires dont le rôle est indispensable à la conservation de la biodiversité, à la résilience climatique et au développement durable. La stratégie vise à influencer les politiques, les pratiques et les systèmes de gouvernance qui déterminent la gestion des ressources naturelles, la mise en œuvre des initiatives de conservation et le partage des bénéfices découlant de ces processus.</w:t>
      </w:r>
    </w:p>
    <w:p w14:paraId="6C0D8D80" w14:textId="6D0DAF3E"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réalisation de cet objectif nécessitera une action coordonnée à plusieurs niveaux. L’AICA renforcera la capacité de ses membres à s’organiser, à plaider leur cause et à dialoguer avec les décideurs. Au niveau national, l’Alliance soutiendra les réformes politiques, la reconnaissance juridique et une responsabilisation institutionnelle accrue. Aux niveaux régional et mondial, l’AICA donnera plus de poids à la voix des peuples autochtones africains dans les processus d’élaboration des politiques qui influencent la conservation, l’action climatique, les droits humains et le développement durable.</w:t>
      </w:r>
    </w:p>
    <w:p w14:paraId="5EFA5651" w14:textId="4E5D4ED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stratégie reconnaît que le changement transformateur est progressif et exige un engagement soutenu. Les interventions de l'AICA visent à renforcer les institutions, à influencer les politiques, à établir des partenariats stratégiques et à favoriser un mouvement continental capable de répondre collectivement aux opportunités et aux défis émergents.</w:t>
      </w:r>
    </w:p>
    <w:p w14:paraId="3A7EC670"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15" w:name="_Toc234795840"/>
      <w:r w:rsidRPr="00B96ADF">
        <w:rPr>
          <w:rFonts w:ascii="Cambria" w:hAnsi="Cambria" w:cstheme="minorHAnsi"/>
          <w:b/>
          <w:bCs/>
          <w:color w:val="auto"/>
          <w:sz w:val="24"/>
          <w:szCs w:val="24"/>
          <w:lang/>
        </w:rPr>
        <w:t>4.2 Objectifs stratégiques</w:t>
      </w:r>
      <w:bookmarkEnd w:id="15"/>
    </w:p>
    <w:p w14:paraId="2C8F9CF7" w14:textId="6CA66A7D"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Pour atteindre cet objectif, l’AICA poursuivra six objectifs stratégiques sur la période 2026-2030.</w:t>
      </w:r>
    </w:p>
    <w:p w14:paraId="1C858740" w14:textId="509E23F7"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lastRenderedPageBreak/>
        <w:t>Objectif stratégique 1 : Renforcer le mouvement autochtone continental</w:t>
      </w:r>
    </w:p>
    <w:p w14:paraId="49A25BB8"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renforcera son rôle d’alliance continentale représentative en intensifiant la collaboration entre les peuples autochtones et les communautés locales à travers l’Afrique. L’Alliance investira dans le développement des mouvements, la formation des leaders et le renforcement institutionnel afin de permettre à ses membres de participer plus efficacement aux processus de plaidoyer et d’élaboration des politiques.</w:t>
      </w:r>
    </w:p>
    <w:p w14:paraId="74A587E5"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Un mouvement fort et coordonné permettra aux communautés de partager leurs expériences, d'élaborer des positions de plaidoyer communes et de répondre collectivement aux nouveaux défis, tout en respectant la diversité des cultures autochtones, des systèmes de gouvernance et des contextes locaux.</w:t>
      </w:r>
    </w:p>
    <w:p w14:paraId="01794889" w14:textId="686CD7AF"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Objectif stratégique 2 : Influencer les réformes politiques, juridiques et institutionnelles</w:t>
      </w:r>
    </w:p>
    <w:p w14:paraId="24E04EF1"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défendra des politiques, des lois et des réformes institutionnelles qui reconnaissent et protègent les droits collectifs des peuples autochtones et des communautés locales, notamment leurs droits à la terre, aux territoires, aux ressources naturelles, à la culture, à l’autodétermination et à la participation à la prise de décision.</w:t>
      </w:r>
    </w:p>
    <w:p w14:paraId="4C413C9B"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L’accent sera mis tout particulièrement sur le renforcement de la mise en œuvre des engagements régionaux et internationaux relatifs aux droits des peuples autochtones, la promotion du consentement libre, préalable et éclairé (CLPE), la protection des défenseurs de l’environnement et des droits humains et l’accroissement de la représentation des peuples autochtones au sein des institutions de gouvernance.</w:t>
      </w:r>
    </w:p>
    <w:p w14:paraId="20F5B8FF" w14:textId="3C8C2136"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Objectif stratégique 3 : Promouvoir la conservation fondée sur les droits et garantir la gouvernance foncière communautaire</w:t>
      </w:r>
    </w:p>
    <w:p w14:paraId="0DC6BF6B"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L’Alliance défendra des approches de conservation qui reconnaissent les peuples autochtones et les communautés locales comme gardiens de la biodiversité et partenaires essentiels de la gouvernance environnementale.</w:t>
      </w:r>
    </w:p>
    <w:p w14:paraId="1CAA28DD"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 plaidoyer visera à garantir les droits fonciers coutumiers, à renforcer les systèmes de gouvernance communautaire, à promouvoir un partage équitable des avantages, à prévenir les expulsions forcées et à veiller à ce que les initiatives de conservation et de </w:t>
      </w:r>
      <w:r w:rsidRPr="00B96ADF">
        <w:rPr>
          <w:rFonts w:ascii="Cambria" w:hAnsi="Cambria" w:cstheme="minorHAnsi"/>
          <w:sz w:val="24"/>
          <w:szCs w:val="24"/>
          <w:lang/>
        </w:rPr>
        <w:lastRenderedPageBreak/>
        <w:t>lutte contre le changement climatique respectent les droits et les systèmes de connaissances des communautés.</w:t>
      </w:r>
    </w:p>
    <w:p w14:paraId="46EE7A9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Reconnaissant que la terre est le fondement sur lequel reposent l'identité culturelle, les moyens de subsistance et la biodiversité, l'AICA continuera de placer les terres communautaires et la gouvernance territoriale au centre de son programme de plaidoyer.</w:t>
      </w:r>
    </w:p>
    <w:p w14:paraId="73342A16" w14:textId="0D4D74AD"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Objectif stratégique 4 : Valoriser les connaissances, la culture et le leadership communautaire autochtones</w:t>
      </w:r>
    </w:p>
    <w:p w14:paraId="281987AB" w14:textId="7FEC3883"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s’engage à promouvoir une meilleure reconnaissance des systèmes de connaissances, des langues et du patrimoine culturel autochtones en tant que composantes essentielles du développement durable et de la gouvernance environnementale. L’Alliance soutiendra la recherche menée par les communautés, la documentation des connaissances, l’apprentissage intergénérationnel et le dialogue politique afin de renforcer le rôle des savoirs autochtones dans la lutte contre l’érosion de la biodiversité, les changements climatiques et la restauration des écosystèmes.</w:t>
      </w:r>
    </w:p>
    <w:p w14:paraId="76767B4B"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Dans le même temps, l’AICA investira dans le renforcement du leadership des femmes, des jeunes et des institutions traditionnelles afin de garantir que le leadership autochtone demeure inclusif, représentatif et à l’écoute des générations futures.</w:t>
      </w:r>
    </w:p>
    <w:p w14:paraId="491B3434" w14:textId="39D58469"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Objectif stratégique 5 : Renforcer les partenariats stratégiques et l’influence</w:t>
      </w:r>
    </w:p>
    <w:p w14:paraId="33AE7A1F"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Reconnaissant qu’aucune institution ne peut, à elle seule, réaliser un changement systémique, l’AICA renforcera ses partenariats avec les gouvernements, les institutions régionales, les organisations de la société civile, les agences de conservation, les instituts de recherche, les partenaires au développement et les organisations philanthropiques qui partagent un engagement en faveur de la conservation fondée sur les droits et du leadership communautaire.</w:t>
      </w:r>
    </w:p>
    <w:p w14:paraId="478FB8D3"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L’Alliance se positionnera comme un acteur de confiance, capable de faciliter le dialogue, de construire un consensus et de promouvoir un plaidoyer coordonné à travers les secteurs et les niveaux de gouvernance.</w:t>
      </w:r>
    </w:p>
    <w:p w14:paraId="6FB24E04"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L’engagement stratégique dans les processus politiques continentaux et mondiaux permettra à l’AICA d’amplifier les perspectives des peuples autochtones africains tout en </w:t>
      </w:r>
      <w:r w:rsidRPr="00B96ADF">
        <w:rPr>
          <w:rFonts w:ascii="Cambria" w:hAnsi="Cambria" w:cstheme="minorHAnsi"/>
          <w:sz w:val="24"/>
          <w:szCs w:val="24"/>
          <w:lang/>
        </w:rPr>
        <w:lastRenderedPageBreak/>
        <w:t>influençant l’élaboration et la mise en œuvre des politiques affectant les peuples autochtones et les communautés locales.</w:t>
      </w:r>
    </w:p>
    <w:p w14:paraId="7B311F7C" w14:textId="30173D44" w:rsidR="00BF36FD" w:rsidRPr="00B96ADF" w:rsidRDefault="00BF36FD"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Objectif stratégique 6 : Bâtir une institution forte, durable et influente</w:t>
      </w:r>
    </w:p>
    <w:p w14:paraId="41955E47" w14:textId="48478F92"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Afin de pérenniser son action de plaidoyer et de servir efficacement ses membres, l'AICA continuera de renforcer ses systèmes institutionnels, ses structures de gouvernance et ses capacités organisationnelles. Cela comprendra notamment l'amélioration de la communication stratégique, l'élargissement de la base de données probantes de l'Alliance, la diversification de la mobilisation des ressources, le renforcement des systèmes de suivi et d'apprentissage, ainsi que l'amélioration de l'efficacité organisationnelle.</w:t>
      </w:r>
    </w:p>
    <w:p w14:paraId="1A4EB1F2"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Une institution plus forte permettra à l'AICA de répondre plus efficacement aux nouvelles opportunités tout en préservant la confiance de ses membres, partenaires et sympathisants.</w:t>
      </w:r>
    </w:p>
    <w:p w14:paraId="12C8A230" w14:textId="77777777" w:rsidR="00BF36FD" w:rsidRPr="00B96ADF" w:rsidRDefault="00BF36FD" w:rsidP="00B96ADF">
      <w:pPr>
        <w:pStyle w:val="Titre2"/>
        <w:spacing w:line="360" w:lineRule="auto"/>
        <w:rPr>
          <w:rFonts w:ascii="Cambria" w:hAnsi="Cambria" w:cstheme="minorHAnsi"/>
          <w:b/>
          <w:bCs/>
          <w:color w:val="auto"/>
          <w:sz w:val="24"/>
          <w:szCs w:val="24"/>
          <w:lang/>
        </w:rPr>
      </w:pPr>
      <w:bookmarkStart w:id="16" w:name="_Toc234795841"/>
      <w:r w:rsidRPr="00B96ADF">
        <w:rPr>
          <w:rFonts w:ascii="Cambria" w:hAnsi="Cambria" w:cstheme="minorHAnsi"/>
          <w:b/>
          <w:bCs/>
          <w:color w:val="auto"/>
          <w:sz w:val="24"/>
          <w:szCs w:val="24"/>
          <w:lang/>
        </w:rPr>
        <w:t>4.3 Résultats stratégiques</w:t>
      </w:r>
      <w:bookmarkEnd w:id="16"/>
    </w:p>
    <w:p w14:paraId="3602D47E" w14:textId="77777777"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mise en œuvre réussie de cette stratégie devrait contribuer aux résultats à long terme suivants d’ici à 2030 :</w:t>
      </w:r>
    </w:p>
    <w:p w14:paraId="259EC370" w14:textId="77777777" w:rsidR="00BF36FD" w:rsidRPr="00B96ADF" w:rsidRDefault="00BF36FD" w:rsidP="00B96ADF">
      <w:pPr>
        <w:numPr>
          <w:ilvl w:val="0"/>
          <w:numId w:val="2"/>
        </w:numPr>
        <w:spacing w:line="360" w:lineRule="auto"/>
        <w:jc w:val="both"/>
        <w:rPr>
          <w:rFonts w:ascii="Cambria" w:hAnsi="Cambria" w:cstheme="minorHAnsi"/>
          <w:sz w:val="24"/>
          <w:szCs w:val="24"/>
          <w:lang/>
        </w:rPr>
      </w:pPr>
      <w:r w:rsidRPr="00B96ADF">
        <w:rPr>
          <w:rFonts w:ascii="Cambria" w:hAnsi="Cambria" w:cstheme="minorHAnsi"/>
          <w:sz w:val="24"/>
          <w:szCs w:val="24"/>
          <w:lang/>
        </w:rPr>
        <w:t>Les peuples autochtones et les communautés locales sont reconnus et participent activement aux processus d'élaboration des politiques et de prise de décision aux niveaux national, régional et international.</w:t>
      </w:r>
    </w:p>
    <w:p w14:paraId="56BC551C" w14:textId="77777777" w:rsidR="00BF36FD" w:rsidRPr="00B96ADF" w:rsidRDefault="00BF36FD" w:rsidP="00B96ADF">
      <w:pPr>
        <w:numPr>
          <w:ilvl w:val="0"/>
          <w:numId w:val="2"/>
        </w:numPr>
        <w:spacing w:line="360" w:lineRule="auto"/>
        <w:jc w:val="both"/>
        <w:rPr>
          <w:rFonts w:ascii="Cambria" w:hAnsi="Cambria" w:cstheme="minorHAnsi"/>
          <w:sz w:val="24"/>
          <w:szCs w:val="24"/>
          <w:lang/>
        </w:rPr>
      </w:pPr>
      <w:r w:rsidRPr="00B96ADF">
        <w:rPr>
          <w:rFonts w:ascii="Cambria" w:hAnsi="Cambria" w:cstheme="minorHAnsi"/>
          <w:sz w:val="24"/>
          <w:szCs w:val="24"/>
          <w:lang/>
        </w:rPr>
        <w:t>Les cadres juridiques et politiques protègent de plus en plus les droits fonciers coutumiers, les systèmes de gouvernance autochtones et la participation communautaire à la conservation et à la gestion des ressources naturelles.</w:t>
      </w:r>
    </w:p>
    <w:p w14:paraId="121A0092" w14:textId="77777777" w:rsidR="00BF36FD" w:rsidRPr="00B96ADF" w:rsidRDefault="00BF36FD" w:rsidP="00B96ADF">
      <w:pPr>
        <w:numPr>
          <w:ilvl w:val="0"/>
          <w:numId w:val="2"/>
        </w:numPr>
        <w:spacing w:line="360" w:lineRule="auto"/>
        <w:jc w:val="both"/>
        <w:rPr>
          <w:rFonts w:ascii="Cambria" w:hAnsi="Cambria" w:cstheme="minorHAnsi"/>
          <w:sz w:val="24"/>
          <w:szCs w:val="24"/>
          <w:lang/>
        </w:rPr>
      </w:pPr>
      <w:r w:rsidRPr="00B96ADF">
        <w:rPr>
          <w:rFonts w:ascii="Cambria" w:hAnsi="Cambria" w:cstheme="minorHAnsi"/>
          <w:sz w:val="24"/>
          <w:szCs w:val="24"/>
          <w:lang/>
        </w:rPr>
        <w:t>La conservation fondée sur les droits se généralise en Afrique, avec une reconnaissance accrue de la gestion communautaire, du consentement libre, préalable et éclairé et du partage équitable des avantages.</w:t>
      </w:r>
    </w:p>
    <w:p w14:paraId="0A949C03" w14:textId="77777777" w:rsidR="00BF36FD" w:rsidRPr="00B96ADF" w:rsidRDefault="00BF36FD" w:rsidP="00B96ADF">
      <w:pPr>
        <w:numPr>
          <w:ilvl w:val="0"/>
          <w:numId w:val="2"/>
        </w:numPr>
        <w:spacing w:line="360" w:lineRule="auto"/>
        <w:jc w:val="both"/>
        <w:rPr>
          <w:rFonts w:ascii="Cambria" w:hAnsi="Cambria" w:cstheme="minorHAnsi"/>
          <w:sz w:val="24"/>
          <w:szCs w:val="24"/>
          <w:lang/>
        </w:rPr>
      </w:pPr>
      <w:r w:rsidRPr="00B96ADF">
        <w:rPr>
          <w:rFonts w:ascii="Cambria" w:hAnsi="Cambria" w:cstheme="minorHAnsi"/>
          <w:sz w:val="24"/>
          <w:szCs w:val="24"/>
          <w:lang/>
        </w:rPr>
        <w:t>Les systèmes de connaissances, les langues et le patrimoine culturel autochtones sont de plus en plus reconnus et intégrés dans la gouvernance environnementale, la recherche et l'éducation.</w:t>
      </w:r>
    </w:p>
    <w:p w14:paraId="0231D0B2" w14:textId="77777777" w:rsidR="00BF36FD" w:rsidRPr="00B96ADF" w:rsidRDefault="00BF36FD" w:rsidP="00B96ADF">
      <w:pPr>
        <w:numPr>
          <w:ilvl w:val="0"/>
          <w:numId w:val="2"/>
        </w:num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Les organisations autochtones possèdent une capacité institutionnelle plus forte, un meilleur accès au financement et une capacité accrue d'influencer les politiques publiques.</w:t>
      </w:r>
    </w:p>
    <w:p w14:paraId="4C1FF995" w14:textId="77777777" w:rsidR="00BF36FD" w:rsidRPr="00B96ADF" w:rsidRDefault="00BF36FD" w:rsidP="00B96ADF">
      <w:pPr>
        <w:numPr>
          <w:ilvl w:val="0"/>
          <w:numId w:val="2"/>
        </w:numPr>
        <w:spacing w:line="360" w:lineRule="auto"/>
        <w:jc w:val="both"/>
        <w:rPr>
          <w:rFonts w:ascii="Cambria" w:hAnsi="Cambria" w:cstheme="minorHAnsi"/>
          <w:sz w:val="24"/>
          <w:szCs w:val="24"/>
          <w:lang/>
        </w:rPr>
      </w:pPr>
      <w:r w:rsidRPr="00B96ADF">
        <w:rPr>
          <w:rFonts w:ascii="Cambria" w:hAnsi="Cambria" w:cstheme="minorHAnsi"/>
          <w:sz w:val="24"/>
          <w:szCs w:val="24"/>
          <w:lang/>
        </w:rPr>
        <w:t>L'AICA est reconnue comme la principale alliance africaine dirigée par les autochtones en matière de plaidoyer, d'influence politique et de construction de mouvements, assurant un leadership crédible sur les questions touchant les peuples autochtones et les communautés locales.</w:t>
      </w:r>
    </w:p>
    <w:p w14:paraId="6B52FD5D" w14:textId="77777777" w:rsidR="00BF36FD" w:rsidRPr="00B96ADF" w:rsidRDefault="00BF36FD" w:rsidP="00B96ADF">
      <w:pPr>
        <w:spacing w:line="360" w:lineRule="auto"/>
        <w:jc w:val="both"/>
        <w:rPr>
          <w:rFonts w:ascii="Cambria" w:hAnsi="Cambria" w:cstheme="minorHAnsi"/>
          <w:sz w:val="24"/>
          <w:szCs w:val="24"/>
          <w:lang/>
        </w:rPr>
      </w:pPr>
    </w:p>
    <w:p w14:paraId="5AAC5D70" w14:textId="77777777" w:rsidR="00BF36FD" w:rsidRPr="00B96ADF" w:rsidRDefault="00BF36FD" w:rsidP="00B96ADF">
      <w:pPr>
        <w:pStyle w:val="Titre1"/>
        <w:spacing w:line="360" w:lineRule="auto"/>
        <w:rPr>
          <w:rFonts w:ascii="Cambria" w:hAnsi="Cambria" w:cstheme="minorHAnsi"/>
          <w:b/>
          <w:bCs/>
          <w:color w:val="auto"/>
          <w:sz w:val="24"/>
          <w:szCs w:val="24"/>
          <w:lang/>
        </w:rPr>
      </w:pPr>
      <w:bookmarkStart w:id="17" w:name="_Toc234795842"/>
      <w:r w:rsidRPr="00B96ADF">
        <w:rPr>
          <w:rFonts w:ascii="Cambria" w:hAnsi="Cambria" w:cstheme="minorHAnsi"/>
          <w:b/>
          <w:bCs/>
          <w:color w:val="auto"/>
          <w:sz w:val="24"/>
          <w:szCs w:val="24"/>
          <w:lang/>
        </w:rPr>
        <w:t>5. Piliers stratégiques</w:t>
      </w:r>
      <w:bookmarkEnd w:id="17"/>
    </w:p>
    <w:p w14:paraId="2FBB2E0B" w14:textId="22E55802" w:rsidR="00BF36FD" w:rsidRPr="00B96ADF" w:rsidRDefault="00BF36FD"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piliers stratégiques constituent le cadre dans lequel l’AICA mettra en œuvre cette stratégie pour la période 2026-2030. Ces piliers sont interdépendants : les progrès réalisés dans un domaine renforcent ceux des autres. Par exemple, des institutions communautaires plus fortes améliorent le plaidoyer ; la sécurité des droits fonciers renforce la conservation de la biodiversité ; la reconnaissance des savoirs autochtones accroît l’influence sur les politiques ; tandis que les partenariats stratégiques multiplient les possibilités de mobilisation des ressources et de pérennité institutionnelle. La mise en œuvre adoptera donc une approche intégrée, reconnaissant que les droits, les cultures, les systèmes de gouvernance et les moyens de subsistance des peuples autochtones et des communautés locales ne peuvent être abordés isolément.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1"/>
        <w:gridCol w:w="2201"/>
        <w:gridCol w:w="2239"/>
        <w:gridCol w:w="2465"/>
      </w:tblGrid>
      <w:tr w:rsidR="004E3895" w:rsidRPr="00B96ADF" w14:paraId="33C46ACD" w14:textId="77777777" w:rsidTr="004D6FFE">
        <w:trPr>
          <w:tblHeader/>
          <w:tblCellSpacing w:w="15" w:type="dxa"/>
        </w:trPr>
        <w:tc>
          <w:tcPr>
            <w:tcW w:w="0" w:type="auto"/>
            <w:vAlign w:val="center"/>
            <w:hideMark/>
          </w:tcPr>
          <w:p w14:paraId="609D9D6C" w14:textId="77777777" w:rsidR="004E3895" w:rsidRPr="00B96ADF" w:rsidRDefault="004E3895" w:rsidP="00B96ADF">
            <w:pPr>
              <w:spacing w:line="360" w:lineRule="auto"/>
              <w:rPr>
                <w:rFonts w:ascii="Cambria" w:hAnsi="Cambria" w:cstheme="minorHAnsi"/>
                <w:b/>
                <w:bCs/>
                <w:sz w:val="24"/>
                <w:szCs w:val="24"/>
                <w:lang/>
              </w:rPr>
            </w:pPr>
            <w:r w:rsidRPr="00B96ADF">
              <w:rPr>
                <w:rFonts w:ascii="Cambria" w:hAnsi="Cambria" w:cstheme="minorHAnsi"/>
                <w:b/>
                <w:bCs/>
                <w:sz w:val="24"/>
                <w:szCs w:val="24"/>
                <w:lang/>
              </w:rPr>
              <w:t>Pilier stratégique</w:t>
            </w:r>
          </w:p>
        </w:tc>
        <w:tc>
          <w:tcPr>
            <w:tcW w:w="0" w:type="auto"/>
            <w:vAlign w:val="center"/>
            <w:hideMark/>
          </w:tcPr>
          <w:p w14:paraId="19AD288E" w14:textId="77777777" w:rsidR="004E3895" w:rsidRPr="00B96ADF" w:rsidRDefault="004E3895" w:rsidP="00B96ADF">
            <w:pPr>
              <w:spacing w:line="360" w:lineRule="auto"/>
              <w:rPr>
                <w:rFonts w:ascii="Cambria" w:hAnsi="Cambria" w:cstheme="minorHAnsi"/>
                <w:b/>
                <w:bCs/>
                <w:sz w:val="24"/>
                <w:szCs w:val="24"/>
                <w:lang/>
              </w:rPr>
            </w:pPr>
            <w:r w:rsidRPr="00B96ADF">
              <w:rPr>
                <w:rFonts w:ascii="Cambria" w:hAnsi="Cambria" w:cstheme="minorHAnsi"/>
                <w:b/>
                <w:bCs/>
                <w:sz w:val="24"/>
                <w:szCs w:val="24"/>
                <w:lang/>
              </w:rPr>
              <w:t>Objectif stratégique</w:t>
            </w:r>
          </w:p>
        </w:tc>
        <w:tc>
          <w:tcPr>
            <w:tcW w:w="0" w:type="auto"/>
            <w:vAlign w:val="center"/>
            <w:hideMark/>
          </w:tcPr>
          <w:p w14:paraId="22F98DC7" w14:textId="77777777" w:rsidR="004E3895" w:rsidRPr="00B96ADF" w:rsidRDefault="004E3895" w:rsidP="00B96ADF">
            <w:pPr>
              <w:spacing w:line="360" w:lineRule="auto"/>
              <w:rPr>
                <w:rFonts w:ascii="Cambria" w:hAnsi="Cambria" w:cstheme="minorHAnsi"/>
                <w:b/>
                <w:bCs/>
                <w:sz w:val="24"/>
                <w:szCs w:val="24"/>
                <w:lang/>
              </w:rPr>
            </w:pPr>
            <w:r w:rsidRPr="00B96ADF">
              <w:rPr>
                <w:rFonts w:ascii="Cambria" w:hAnsi="Cambria" w:cstheme="minorHAnsi"/>
                <w:b/>
                <w:bCs/>
                <w:sz w:val="24"/>
                <w:szCs w:val="24"/>
                <w:lang/>
              </w:rPr>
              <w:t>Domaines prioritaires</w:t>
            </w:r>
          </w:p>
        </w:tc>
        <w:tc>
          <w:tcPr>
            <w:tcW w:w="0" w:type="auto"/>
            <w:vAlign w:val="center"/>
            <w:hideMark/>
          </w:tcPr>
          <w:p w14:paraId="5AC0DBFD" w14:textId="77777777" w:rsidR="004E3895" w:rsidRPr="00B96ADF" w:rsidRDefault="004E3895" w:rsidP="00B96ADF">
            <w:pPr>
              <w:spacing w:line="360" w:lineRule="auto"/>
              <w:rPr>
                <w:rFonts w:ascii="Cambria" w:hAnsi="Cambria" w:cstheme="minorHAnsi"/>
                <w:b/>
                <w:bCs/>
                <w:sz w:val="24"/>
                <w:szCs w:val="24"/>
                <w:lang/>
              </w:rPr>
            </w:pPr>
            <w:r w:rsidRPr="00B96ADF">
              <w:rPr>
                <w:rFonts w:ascii="Cambria" w:hAnsi="Cambria" w:cstheme="minorHAnsi"/>
                <w:b/>
                <w:bCs/>
                <w:sz w:val="24"/>
                <w:szCs w:val="24"/>
                <w:lang/>
              </w:rPr>
              <w:t>Initiatives phares</w:t>
            </w:r>
          </w:p>
        </w:tc>
      </w:tr>
      <w:tr w:rsidR="004E3895" w:rsidRPr="00B96ADF" w14:paraId="3D9B75B9" w14:textId="77777777" w:rsidTr="004D6FFE">
        <w:trPr>
          <w:tblCellSpacing w:w="15" w:type="dxa"/>
        </w:trPr>
        <w:tc>
          <w:tcPr>
            <w:tcW w:w="0" w:type="auto"/>
            <w:vAlign w:val="center"/>
            <w:hideMark/>
          </w:tcPr>
          <w:p w14:paraId="114217E9"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b/>
                <w:bCs/>
                <w:sz w:val="24"/>
                <w:szCs w:val="24"/>
                <w:lang/>
              </w:rPr>
              <w:t>1. Construire un mouvement continental fort</w:t>
            </w:r>
          </w:p>
        </w:tc>
        <w:tc>
          <w:tcPr>
            <w:tcW w:w="0" w:type="auto"/>
            <w:vAlign w:val="center"/>
            <w:hideMark/>
          </w:tcPr>
          <w:p w14:paraId="2F9C0C87"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Renforcer l'AICA en tant qu'alliance panafricaine représentative et influente des peuples autochtones et des communautés locales.</w:t>
            </w:r>
          </w:p>
        </w:tc>
        <w:tc>
          <w:tcPr>
            <w:tcW w:w="0" w:type="auto"/>
            <w:vAlign w:val="center"/>
            <w:hideMark/>
          </w:tcPr>
          <w:p w14:paraId="10996A71"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 Adhésion et gouvernance • Mouvement de plaidoyer • Développement du leadership • Renforcement institutionnel</w:t>
            </w:r>
          </w:p>
        </w:tc>
        <w:tc>
          <w:tcPr>
            <w:tcW w:w="0" w:type="auto"/>
            <w:vAlign w:val="center"/>
            <w:hideMark/>
          </w:tcPr>
          <w:p w14:paraId="68952AE5"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 xml:space="preserve">Cadre d’engagement des membres; programme de bourses de leadership autochtone; réseaux régionaux et thématiques; renforcement des </w:t>
            </w:r>
            <w:r w:rsidRPr="00B96ADF">
              <w:rPr>
                <w:rFonts w:ascii="Cambria" w:hAnsi="Cambria" w:cstheme="minorHAnsi"/>
                <w:sz w:val="24"/>
                <w:szCs w:val="24"/>
                <w:lang/>
              </w:rPr>
              <w:lastRenderedPageBreak/>
              <w:t>capacités organisationnelles.</w:t>
            </w:r>
          </w:p>
        </w:tc>
      </w:tr>
      <w:tr w:rsidR="004E3895" w:rsidRPr="00B96ADF" w14:paraId="7C18168E" w14:textId="77777777" w:rsidTr="004D6FFE">
        <w:trPr>
          <w:tblCellSpacing w:w="15" w:type="dxa"/>
        </w:trPr>
        <w:tc>
          <w:tcPr>
            <w:tcW w:w="0" w:type="auto"/>
            <w:vAlign w:val="center"/>
            <w:hideMark/>
          </w:tcPr>
          <w:p w14:paraId="10000E94"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b/>
                <w:bCs/>
                <w:sz w:val="24"/>
                <w:szCs w:val="24"/>
                <w:lang/>
              </w:rPr>
              <w:lastRenderedPageBreak/>
              <w:t>2. Garantir les droits, influencer les politiques et renforcer la gouvernance</w:t>
            </w:r>
          </w:p>
        </w:tc>
        <w:tc>
          <w:tcPr>
            <w:tcW w:w="0" w:type="auto"/>
            <w:vAlign w:val="center"/>
            <w:hideMark/>
          </w:tcPr>
          <w:p w14:paraId="6D3C0B78"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Promouvoir la reconnaissance et la protection des droits des peuples autochtones par le biais du plaidoyer, de la réforme juridique et de l'engagement institutionnel.</w:t>
            </w:r>
          </w:p>
        </w:tc>
        <w:tc>
          <w:tcPr>
            <w:tcW w:w="0" w:type="auto"/>
            <w:vAlign w:val="center"/>
            <w:hideMark/>
          </w:tcPr>
          <w:p w14:paraId="3390F447"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 Réforme juridique et politique • Participation • Principe de consentement libre, préalable et éclairé • Défenseurs des droits humains • Engagement régional et mondial</w:t>
            </w:r>
          </w:p>
        </w:tc>
        <w:tc>
          <w:tcPr>
            <w:tcW w:w="0" w:type="auto"/>
            <w:vAlign w:val="center"/>
            <w:hideMark/>
          </w:tcPr>
          <w:p w14:paraId="5AF82108"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Plaidoyer politique ; réforme juridique ; mise en œuvre du FPIC ; surveillance des droits de l'homme ; engagement de l'UA et de l'ONU.</w:t>
            </w:r>
          </w:p>
        </w:tc>
      </w:tr>
      <w:tr w:rsidR="004E3895" w:rsidRPr="00B96ADF" w14:paraId="65324008" w14:textId="77777777" w:rsidTr="004D6FFE">
        <w:trPr>
          <w:tblCellSpacing w:w="15" w:type="dxa"/>
        </w:trPr>
        <w:tc>
          <w:tcPr>
            <w:tcW w:w="0" w:type="auto"/>
            <w:vAlign w:val="center"/>
            <w:hideMark/>
          </w:tcPr>
          <w:p w14:paraId="43263FF2"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b/>
                <w:bCs/>
                <w:sz w:val="24"/>
                <w:szCs w:val="24"/>
                <w:lang/>
              </w:rPr>
              <w:t>3. Sécuriser les terres, les territoires et la gouvernance des ressources naturelles des communautés</w:t>
            </w:r>
          </w:p>
        </w:tc>
        <w:tc>
          <w:tcPr>
            <w:tcW w:w="0" w:type="auto"/>
            <w:vAlign w:val="center"/>
            <w:hideMark/>
          </w:tcPr>
          <w:p w14:paraId="2D6FF238"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Promouvoir la sécurité foncière et une gouvernance communautaire des terres et des ressources naturelles.</w:t>
            </w:r>
          </w:p>
        </w:tc>
        <w:tc>
          <w:tcPr>
            <w:tcW w:w="0" w:type="auto"/>
            <w:vAlign w:val="center"/>
            <w:hideMark/>
          </w:tcPr>
          <w:p w14:paraId="3AAC16E0"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 Droits fonciers communautaires • Gouvernance des ressources naturelles • Conservation fondée sur les droits • Investissement responsable • Résolution des conflits</w:t>
            </w:r>
          </w:p>
        </w:tc>
        <w:tc>
          <w:tcPr>
            <w:tcW w:w="0" w:type="auto"/>
            <w:vAlign w:val="center"/>
            <w:hideMark/>
          </w:tcPr>
          <w:p w14:paraId="76F6629E"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Gouvernance foncière communautaire ; conservation fondée sur les droits ; participation au marché du carbone ; partage des bénéfices ; gouvernance sensible aux conflits.</w:t>
            </w:r>
          </w:p>
        </w:tc>
      </w:tr>
      <w:tr w:rsidR="004E3895" w:rsidRPr="00B96ADF" w14:paraId="3B129FC3" w14:textId="77777777" w:rsidTr="004D6FFE">
        <w:trPr>
          <w:tblCellSpacing w:w="15" w:type="dxa"/>
        </w:trPr>
        <w:tc>
          <w:tcPr>
            <w:tcW w:w="0" w:type="auto"/>
            <w:vAlign w:val="center"/>
            <w:hideMark/>
          </w:tcPr>
          <w:p w14:paraId="53CF5DD4"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b/>
                <w:bCs/>
                <w:sz w:val="24"/>
                <w:szCs w:val="24"/>
                <w:lang/>
              </w:rPr>
              <w:t xml:space="preserve">4. Promouvoir les connaissances, la culture et le leadership </w:t>
            </w:r>
            <w:r w:rsidRPr="00B96ADF">
              <w:rPr>
                <w:rFonts w:ascii="Cambria" w:hAnsi="Cambria" w:cstheme="minorHAnsi"/>
                <w:b/>
                <w:bCs/>
                <w:sz w:val="24"/>
                <w:szCs w:val="24"/>
                <w:lang/>
              </w:rPr>
              <w:lastRenderedPageBreak/>
              <w:t>communautaire autochtones</w:t>
            </w:r>
          </w:p>
        </w:tc>
        <w:tc>
          <w:tcPr>
            <w:tcW w:w="0" w:type="auto"/>
            <w:vAlign w:val="center"/>
            <w:hideMark/>
          </w:tcPr>
          <w:p w14:paraId="554F6F92"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lastRenderedPageBreak/>
              <w:t xml:space="preserve">Promouvoir les connaissances, le patrimoine culturel et le leadership autochtones comme </w:t>
            </w:r>
            <w:r w:rsidRPr="00B96ADF">
              <w:rPr>
                <w:rFonts w:ascii="Cambria" w:hAnsi="Cambria" w:cstheme="minorHAnsi"/>
                <w:sz w:val="24"/>
                <w:szCs w:val="24"/>
                <w:lang/>
              </w:rPr>
              <w:lastRenderedPageBreak/>
              <w:t>fondements du développement durable.</w:t>
            </w:r>
          </w:p>
        </w:tc>
        <w:tc>
          <w:tcPr>
            <w:tcW w:w="0" w:type="auto"/>
            <w:vAlign w:val="center"/>
            <w:hideMark/>
          </w:tcPr>
          <w:p w14:paraId="637820E8"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lastRenderedPageBreak/>
              <w:t xml:space="preserve">• Savoirs autochtones • Culture et langues • Leadership • </w:t>
            </w:r>
            <w:r w:rsidRPr="00B96ADF">
              <w:rPr>
                <w:rFonts w:ascii="Cambria" w:hAnsi="Cambria" w:cstheme="minorHAnsi"/>
                <w:sz w:val="24"/>
                <w:szCs w:val="24"/>
                <w:lang/>
              </w:rPr>
              <w:lastRenderedPageBreak/>
              <w:t>Recherche • Centre de connaissances</w:t>
            </w:r>
          </w:p>
        </w:tc>
        <w:tc>
          <w:tcPr>
            <w:tcW w:w="0" w:type="auto"/>
            <w:vAlign w:val="center"/>
            <w:hideMark/>
          </w:tcPr>
          <w:p w14:paraId="12936190"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lastRenderedPageBreak/>
              <w:t xml:space="preserve">Centre de connaissances et d'apprentissage autochtones; programmes de </w:t>
            </w:r>
            <w:r w:rsidRPr="00B96ADF">
              <w:rPr>
                <w:rFonts w:ascii="Cambria" w:hAnsi="Cambria" w:cstheme="minorHAnsi"/>
                <w:sz w:val="24"/>
                <w:szCs w:val="24"/>
                <w:lang/>
              </w:rPr>
              <w:lastRenderedPageBreak/>
              <w:t>leadership; partenariats de recherche; préservation culturelle; échange de connaissances.</w:t>
            </w:r>
          </w:p>
        </w:tc>
      </w:tr>
      <w:tr w:rsidR="004E3895" w:rsidRPr="00B96ADF" w14:paraId="021F5256" w14:textId="77777777" w:rsidTr="004D6FFE">
        <w:trPr>
          <w:tblCellSpacing w:w="15" w:type="dxa"/>
        </w:trPr>
        <w:tc>
          <w:tcPr>
            <w:tcW w:w="0" w:type="auto"/>
            <w:vAlign w:val="center"/>
            <w:hideMark/>
          </w:tcPr>
          <w:p w14:paraId="5487DC7F"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b/>
                <w:bCs/>
                <w:sz w:val="24"/>
                <w:szCs w:val="24"/>
                <w:lang/>
              </w:rPr>
              <w:lastRenderedPageBreak/>
              <w:t>5. Partenariats stratégiques, mobilisation des ressources et pérennité institutionnelle</w:t>
            </w:r>
          </w:p>
        </w:tc>
        <w:tc>
          <w:tcPr>
            <w:tcW w:w="0" w:type="auto"/>
            <w:vAlign w:val="center"/>
            <w:hideMark/>
          </w:tcPr>
          <w:p w14:paraId="7B22DA1C"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Renforcer la pérennité institutionnelle, les partenariats et les ressources de l'AICA .</w:t>
            </w:r>
          </w:p>
        </w:tc>
        <w:tc>
          <w:tcPr>
            <w:tcW w:w="0" w:type="auto"/>
            <w:vAlign w:val="center"/>
            <w:hideMark/>
          </w:tcPr>
          <w:p w14:paraId="03166C8C"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 Partenariats stratégiques • Mobilisation des ressources • Systèmes institutionnels • Centres d’excellence • Coopération Sud-Sud</w:t>
            </w:r>
          </w:p>
        </w:tc>
        <w:tc>
          <w:tcPr>
            <w:tcW w:w="0" w:type="auto"/>
            <w:vAlign w:val="center"/>
            <w:hideMark/>
          </w:tcPr>
          <w:p w14:paraId="0E4EDA74"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Cadre de partenariat ; stratégie de mobilisation des ressources ; renforcement institutionnel ; forums politiques continentaux ; apprentissage Sud-Sud.</w:t>
            </w:r>
          </w:p>
        </w:tc>
      </w:tr>
      <w:tr w:rsidR="004E3895" w:rsidRPr="00B96ADF" w14:paraId="2CF60B6E" w14:textId="77777777" w:rsidTr="004D6FFE">
        <w:trPr>
          <w:tblCellSpacing w:w="15" w:type="dxa"/>
        </w:trPr>
        <w:tc>
          <w:tcPr>
            <w:tcW w:w="0" w:type="auto"/>
            <w:vAlign w:val="center"/>
            <w:hideMark/>
          </w:tcPr>
          <w:p w14:paraId="06A66E95"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b/>
                <w:bCs/>
                <w:sz w:val="24"/>
                <w:szCs w:val="24"/>
                <w:lang/>
              </w:rPr>
              <w:t>6. Plaidoyer stratégique, communication et influence</w:t>
            </w:r>
          </w:p>
        </w:tc>
        <w:tc>
          <w:tcPr>
            <w:tcW w:w="0" w:type="auto"/>
            <w:vAlign w:val="center"/>
            <w:hideMark/>
          </w:tcPr>
          <w:p w14:paraId="39ED0C98"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Renforcer l'influence de l'AICA par le biais d'un plaidoyer stratégique, de communications et d'un engagement public.</w:t>
            </w:r>
          </w:p>
        </w:tc>
        <w:tc>
          <w:tcPr>
            <w:tcW w:w="0" w:type="auto"/>
            <w:vAlign w:val="center"/>
            <w:hideMark/>
          </w:tcPr>
          <w:p w14:paraId="5608F21C"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 Plaidoyer politique • Changement de discours • Engagement médiatique et numérique • Leadership éclairé • Campagnes publiques</w:t>
            </w:r>
          </w:p>
        </w:tc>
        <w:tc>
          <w:tcPr>
            <w:tcW w:w="0" w:type="auto"/>
            <w:vAlign w:val="center"/>
            <w:hideMark/>
          </w:tcPr>
          <w:p w14:paraId="303CF0FE" w14:textId="77777777" w:rsidR="004E3895" w:rsidRPr="00B96ADF" w:rsidRDefault="004E3895" w:rsidP="00B96ADF">
            <w:pPr>
              <w:spacing w:line="360" w:lineRule="auto"/>
              <w:rPr>
                <w:rFonts w:ascii="Cambria" w:hAnsi="Cambria" w:cstheme="minorHAnsi"/>
                <w:sz w:val="24"/>
                <w:szCs w:val="24"/>
                <w:lang/>
              </w:rPr>
            </w:pPr>
            <w:r w:rsidRPr="00B96ADF">
              <w:rPr>
                <w:rFonts w:ascii="Cambria" w:hAnsi="Cambria" w:cstheme="minorHAnsi"/>
                <w:sz w:val="24"/>
                <w:szCs w:val="24"/>
                <w:lang/>
              </w:rPr>
              <w:t>Campagnes de plaidoyer continentales ; stratégie de communication ; relations avec les médias ; publications politiques ; plaidoyer numérique.</w:t>
            </w:r>
          </w:p>
        </w:tc>
      </w:tr>
    </w:tbl>
    <w:p w14:paraId="6F59BC67" w14:textId="77777777" w:rsidR="004E3895" w:rsidRPr="00B96ADF" w:rsidRDefault="004E3895" w:rsidP="00B96ADF">
      <w:pPr>
        <w:spacing w:line="360" w:lineRule="auto"/>
        <w:jc w:val="both"/>
        <w:rPr>
          <w:rFonts w:ascii="Cambria" w:hAnsi="Cambria" w:cstheme="minorHAnsi"/>
          <w:sz w:val="24"/>
          <w:szCs w:val="24"/>
          <w:lang/>
        </w:rPr>
      </w:pPr>
    </w:p>
    <w:p w14:paraId="132AE31F" w14:textId="77777777" w:rsidR="00D53680" w:rsidRPr="00B96ADF" w:rsidRDefault="00D53680" w:rsidP="00B96ADF">
      <w:pPr>
        <w:spacing w:line="360" w:lineRule="auto"/>
        <w:jc w:val="both"/>
        <w:rPr>
          <w:rFonts w:ascii="Cambria" w:hAnsi="Cambria" w:cstheme="minorHAnsi"/>
          <w:sz w:val="24"/>
          <w:szCs w:val="24"/>
          <w:lang/>
        </w:rPr>
      </w:pPr>
    </w:p>
    <w:p w14:paraId="377B14CA" w14:textId="77777777" w:rsidR="00D53680" w:rsidRPr="00B96ADF" w:rsidRDefault="00D53680" w:rsidP="00B96ADF">
      <w:pPr>
        <w:pStyle w:val="Titre1"/>
        <w:spacing w:line="360" w:lineRule="auto"/>
        <w:rPr>
          <w:rFonts w:ascii="Cambria" w:hAnsi="Cambria" w:cstheme="minorHAnsi"/>
          <w:b/>
          <w:bCs/>
          <w:color w:val="auto"/>
          <w:sz w:val="24"/>
          <w:szCs w:val="24"/>
          <w:lang/>
        </w:rPr>
      </w:pPr>
      <w:bookmarkStart w:id="18" w:name="_Toc234795843"/>
      <w:r w:rsidRPr="00B96ADF">
        <w:rPr>
          <w:rFonts w:ascii="Cambria" w:hAnsi="Cambria" w:cstheme="minorHAnsi"/>
          <w:b/>
          <w:bCs/>
          <w:color w:val="auto"/>
          <w:sz w:val="24"/>
          <w:szCs w:val="24"/>
          <w:lang/>
        </w:rPr>
        <w:lastRenderedPageBreak/>
        <w:t>6. Stratégie d'engagement des parties prenantes</w:t>
      </w:r>
      <w:bookmarkEnd w:id="18"/>
    </w:p>
    <w:p w14:paraId="07D96420" w14:textId="77777777" w:rsidR="00D53680" w:rsidRPr="00B96ADF" w:rsidRDefault="00D53680" w:rsidP="00B96ADF">
      <w:pPr>
        <w:pStyle w:val="Titre2"/>
        <w:spacing w:line="360" w:lineRule="auto"/>
        <w:rPr>
          <w:rFonts w:ascii="Cambria" w:hAnsi="Cambria" w:cstheme="minorHAnsi"/>
          <w:b/>
          <w:bCs/>
          <w:color w:val="auto"/>
          <w:sz w:val="24"/>
          <w:szCs w:val="24"/>
          <w:lang/>
        </w:rPr>
      </w:pPr>
      <w:bookmarkStart w:id="19" w:name="_Toc234795844"/>
      <w:r w:rsidRPr="00B96ADF">
        <w:rPr>
          <w:rFonts w:ascii="Cambria" w:hAnsi="Cambria" w:cstheme="minorHAnsi"/>
          <w:b/>
          <w:bCs/>
          <w:color w:val="auto"/>
          <w:sz w:val="24"/>
          <w:szCs w:val="24"/>
          <w:lang/>
        </w:rPr>
        <w:t>6.1 Introduction</w:t>
      </w:r>
      <w:bookmarkEnd w:id="19"/>
    </w:p>
    <w:p w14:paraId="39E2D1D4"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réalisation de la vision de l'AICA exige un engagement ciblé et soutenu auprès des institutions et des acteurs qui influencent les décisions touchant les peuples autochtones et les communautés locales . Si les communautés autochtones sont les principaux moteurs du changement, la réforme des politiques et la transformation institutionnelle dépendent d'un dialogue constructif avec les gouvernements, les organisations régionales, les institutions multilatérales, les organisations de conservation, la société civile, les partenaires au développement, les instituts de recherche et le secteur privé.</w:t>
      </w:r>
    </w:p>
    <w:p w14:paraId="4D988051"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reconnaît que le plaidoyer est plus efficace lorsqu’il allie collaboration, dialogue et responsabilisation. Les différentes parties prenantes jouent des rôles distincts dans l’élaboration des politiques, l’allocation des ressources, la mise en œuvre des programmes et l’influence sur l’opinion publique. Par conséquent, l’Alliance adoptera une approche d’engagement différenciée qui reflète le mandat, l’influence et les intérêts de chaque partie prenante, tout en demeurant fermement ancrée dans les priorités des peuples autochtones et des communautés locales.</w:t>
      </w:r>
    </w:p>
    <w:p w14:paraId="6E7F7625"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stratégie de mobilisation des parties prenantes vise à renforcer les relations, à instaurer la confiance, à promouvoir le dialogue et à créer des occasions pour les peuples autochtones et les communautés locales de participer pleinement aux décisions qui touchent leurs terres, leurs territoires, leurs cultures et leurs moyens de subsistance. Elle vise également à améliorer la coordination entre les institutions œuvrant dans les domaines de la conservation, de la gouvernance foncière, de l’action climatique et des droits humains, réduisant ainsi les doublons et favorisant l’action collective.</w:t>
      </w:r>
    </w:p>
    <w:p w14:paraId="2AE457AA"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S’appuyant sur les consultations menées lors de l’élaboration de cette stratégie, l’AICA concentrera son action sur les institutions les plus susceptibles d’influencer les politiques, de mobiliser des ressources et de promouvoir la redevabilité. Ces priorités sont conformes à la cartographie des parties prenantes réalisée par l’Alliance, qui a permis d’identifier des opportunités d’engagement clés au sein des institutions régionales africaines, des mécanismes des Nations Unies, des organismes de conservation, des institutions financières internationales, des partenaires au développement et des réseaux autochtones.</w:t>
      </w:r>
    </w:p>
    <w:p w14:paraId="240CB3D8" w14:textId="0795167F" w:rsidR="00D53680" w:rsidRPr="00B96ADF" w:rsidRDefault="00D53680" w:rsidP="00B96ADF">
      <w:pPr>
        <w:pStyle w:val="Titre2"/>
        <w:spacing w:line="360" w:lineRule="auto"/>
        <w:rPr>
          <w:rFonts w:ascii="Cambria" w:hAnsi="Cambria" w:cstheme="minorHAnsi"/>
          <w:b/>
          <w:bCs/>
          <w:color w:val="auto"/>
          <w:sz w:val="24"/>
          <w:szCs w:val="24"/>
          <w:lang/>
        </w:rPr>
      </w:pPr>
      <w:bookmarkStart w:id="20" w:name="_Toc234795845"/>
      <w:r w:rsidRPr="00B96ADF">
        <w:rPr>
          <w:rFonts w:ascii="Cambria" w:hAnsi="Cambria" w:cstheme="minorHAnsi"/>
          <w:b/>
          <w:bCs/>
          <w:color w:val="auto"/>
          <w:sz w:val="24"/>
          <w:szCs w:val="24"/>
          <w:lang/>
        </w:rPr>
        <w:lastRenderedPageBreak/>
        <w:t xml:space="preserve">6.2 Approche d'engagement </w:t>
      </w:r>
      <w:bookmarkEnd w:id="20"/>
      <w:r w:rsidRPr="00B96ADF">
        <w:rPr>
          <w:rFonts w:ascii="Cambria" w:hAnsi="Cambria" w:cstheme="minorHAnsi"/>
          <w:b/>
          <w:bCs/>
          <w:color w:val="auto"/>
          <w:sz w:val="24"/>
          <w:szCs w:val="24"/>
          <w:lang/>
        </w:rPr>
        <w:t>de l'AICA</w:t>
      </w:r>
    </w:p>
    <w:p w14:paraId="165C2310"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adoptera une gamme d’approches d’engagement complémentaires en fonction du problème, des parties prenantes et du contexte politique.</w:t>
      </w:r>
    </w:p>
    <w:p w14:paraId="67B9DC20"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Cela comprendra :</w:t>
      </w:r>
    </w:p>
    <w:p w14:paraId="603EA41F"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Dialogue politique et engagement technique avec les gouvernements, les institutions régionales et les organisations internationales.</w:t>
      </w:r>
    </w:p>
    <w:p w14:paraId="5E2B13B3"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Plaidoyer stratégique et campagnes publiques pour influencer l'opinion publique et les réformes politiques.</w:t>
      </w:r>
    </w:p>
    <w:p w14:paraId="359F9D15"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Réunions et création de coalitions pour renforcer l'action collective des organisations autochtones et de leurs alliés.</w:t>
      </w:r>
    </w:p>
    <w:p w14:paraId="475A0D6A"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Production de données probantes et recherche sur les politiques publiques pour appuyer une prise de décision éclairée.</w:t>
      </w:r>
    </w:p>
    <w:p w14:paraId="64C16CBA"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Engagement diplomatique auprès des institutions régionales et internationales.</w:t>
      </w:r>
    </w:p>
    <w:p w14:paraId="6B7517E0"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Des mécanismes de contentieux stratégique et de responsabilisation, le cas échéant, pour promouvoir la mise en œuvre des obligations relatives aux droits de l'homme.</w:t>
      </w:r>
    </w:p>
    <w:p w14:paraId="0621D355"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Plaidoyer médiatique et numérique pour amplifier la voix des Autochtones et façonner les récits publics.</w:t>
      </w:r>
    </w:p>
    <w:p w14:paraId="5AB5072B" w14:textId="77777777" w:rsidR="00D53680" w:rsidRPr="00B96ADF" w:rsidRDefault="00D53680" w:rsidP="00B96ADF">
      <w:pPr>
        <w:numPr>
          <w:ilvl w:val="0"/>
          <w:numId w:val="38"/>
        </w:numPr>
        <w:spacing w:line="360" w:lineRule="auto"/>
        <w:jc w:val="both"/>
        <w:rPr>
          <w:rFonts w:ascii="Cambria" w:hAnsi="Cambria" w:cstheme="minorHAnsi"/>
          <w:sz w:val="24"/>
          <w:szCs w:val="24"/>
          <w:lang/>
        </w:rPr>
      </w:pPr>
      <w:r w:rsidRPr="00B96ADF">
        <w:rPr>
          <w:rFonts w:ascii="Cambria" w:hAnsi="Cambria" w:cstheme="minorHAnsi"/>
          <w:sz w:val="24"/>
          <w:szCs w:val="24"/>
          <w:lang/>
        </w:rPr>
        <w:t>Apprentissage et échanges intercommunautaires pour renforcer le leadership et l'innovation autochtones.</w:t>
      </w:r>
    </w:p>
    <w:p w14:paraId="6DE0EBAA"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Ces approches seront appliquées avec souplesse, reconnaissant que différents contextes politiques requièrent différentes formes d'engagement.</w:t>
      </w:r>
    </w:p>
    <w:p w14:paraId="51931CA7" w14:textId="77777777" w:rsidR="00D53680" w:rsidRPr="00B96ADF" w:rsidRDefault="00D53680"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Résultats attendus</w:t>
      </w:r>
    </w:p>
    <w:p w14:paraId="13BF2529"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À la fin de la période stratégique :</w:t>
      </w:r>
    </w:p>
    <w:p w14:paraId="27015E5A" w14:textId="77777777" w:rsidR="00D53680" w:rsidRPr="00B96ADF" w:rsidRDefault="00D53680" w:rsidP="00B96ADF">
      <w:pPr>
        <w:numPr>
          <w:ilvl w:val="0"/>
          <w:numId w:val="39"/>
        </w:numPr>
        <w:spacing w:line="360" w:lineRule="auto"/>
        <w:jc w:val="both"/>
        <w:rPr>
          <w:rFonts w:ascii="Cambria" w:hAnsi="Cambria" w:cstheme="minorHAnsi"/>
          <w:sz w:val="24"/>
          <w:szCs w:val="24"/>
          <w:lang/>
        </w:rPr>
      </w:pPr>
      <w:r w:rsidRPr="00B96ADF">
        <w:rPr>
          <w:rFonts w:ascii="Cambria" w:hAnsi="Cambria" w:cstheme="minorHAnsi"/>
          <w:sz w:val="24"/>
          <w:szCs w:val="24"/>
          <w:lang/>
        </w:rPr>
        <w:t>L'AICA a établi des relations solides et de confiance avec des institutions nationales, régionales et internationales clés.</w:t>
      </w:r>
    </w:p>
    <w:p w14:paraId="7A8D6EF8" w14:textId="77777777" w:rsidR="00D53680" w:rsidRPr="00B96ADF" w:rsidRDefault="00D53680" w:rsidP="00B96ADF">
      <w:pPr>
        <w:numPr>
          <w:ilvl w:val="0"/>
          <w:numId w:val="39"/>
        </w:num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Les peuples autochtones et les communautés locales participent plus activement aux processus d'élaboration des politiques et de prise de décision.</w:t>
      </w:r>
    </w:p>
    <w:p w14:paraId="1EE71CDA" w14:textId="77777777" w:rsidR="00D53680" w:rsidRPr="00B96ADF" w:rsidRDefault="00D53680" w:rsidP="00B96ADF">
      <w:pPr>
        <w:numPr>
          <w:ilvl w:val="0"/>
          <w:numId w:val="39"/>
        </w:numPr>
        <w:spacing w:line="360" w:lineRule="auto"/>
        <w:jc w:val="both"/>
        <w:rPr>
          <w:rFonts w:ascii="Cambria" w:hAnsi="Cambria" w:cstheme="minorHAnsi"/>
          <w:sz w:val="24"/>
          <w:szCs w:val="24"/>
          <w:lang/>
        </w:rPr>
      </w:pPr>
      <w:r w:rsidRPr="00B96ADF">
        <w:rPr>
          <w:rFonts w:ascii="Cambria" w:hAnsi="Cambria" w:cstheme="minorHAnsi"/>
          <w:sz w:val="24"/>
          <w:szCs w:val="24"/>
          <w:lang/>
        </w:rPr>
        <w:t>Les partenariats stratégiques contribuent à une influence politique plus forte, à une meilleure mobilisation des ressources et à une plus grande durabilité institutionnelle.</w:t>
      </w:r>
    </w:p>
    <w:p w14:paraId="234A9B4F" w14:textId="77777777" w:rsidR="00D53680" w:rsidRPr="00B96ADF" w:rsidRDefault="00D53680" w:rsidP="00B96ADF">
      <w:pPr>
        <w:numPr>
          <w:ilvl w:val="0"/>
          <w:numId w:val="39"/>
        </w:numPr>
        <w:spacing w:line="360" w:lineRule="auto"/>
        <w:jc w:val="both"/>
        <w:rPr>
          <w:rFonts w:ascii="Cambria" w:hAnsi="Cambria" w:cstheme="minorHAnsi"/>
          <w:sz w:val="24"/>
          <w:szCs w:val="24"/>
          <w:lang/>
        </w:rPr>
      </w:pPr>
      <w:r w:rsidRPr="00B96ADF">
        <w:rPr>
          <w:rFonts w:ascii="Cambria" w:hAnsi="Cambria" w:cstheme="minorHAnsi"/>
          <w:sz w:val="24"/>
          <w:szCs w:val="24"/>
          <w:lang/>
        </w:rPr>
        <w:t>Les gouvernements, les organisations de conservation et les partenaires au développement adoptent de plus en plus des approches fondées sur les droits et tenant compte des priorités des populations autochtones.</w:t>
      </w:r>
    </w:p>
    <w:p w14:paraId="0034DD73" w14:textId="77777777" w:rsidR="00D53680" w:rsidRPr="00B96ADF" w:rsidRDefault="00D53680" w:rsidP="00B96ADF">
      <w:pPr>
        <w:numPr>
          <w:ilvl w:val="0"/>
          <w:numId w:val="39"/>
        </w:numPr>
        <w:spacing w:line="360" w:lineRule="auto"/>
        <w:jc w:val="both"/>
        <w:rPr>
          <w:rFonts w:ascii="Cambria" w:hAnsi="Cambria" w:cstheme="minorHAnsi"/>
          <w:sz w:val="24"/>
          <w:szCs w:val="24"/>
          <w:lang/>
        </w:rPr>
      </w:pPr>
      <w:r w:rsidRPr="00B96ADF">
        <w:rPr>
          <w:rFonts w:ascii="Cambria" w:hAnsi="Cambria" w:cstheme="minorHAnsi"/>
          <w:sz w:val="24"/>
          <w:szCs w:val="24"/>
          <w:lang/>
        </w:rPr>
        <w:t>L’AICA est reconnue comme la plateforme continentale privilégiée pour impliquer les peuples autochtones et les communautés locales sur les questions liées à la conservation, à l’action climatique, à la gouvernance foncière et au développement durable.</w:t>
      </w:r>
    </w:p>
    <w:p w14:paraId="360D05E4" w14:textId="77777777" w:rsidR="00D53680" w:rsidRPr="00B96ADF" w:rsidRDefault="00D53680" w:rsidP="00B96ADF">
      <w:pPr>
        <w:spacing w:line="360" w:lineRule="auto"/>
        <w:jc w:val="both"/>
        <w:rPr>
          <w:rFonts w:ascii="Cambria" w:hAnsi="Cambria" w:cstheme="minorHAnsi"/>
          <w:sz w:val="24"/>
          <w:szCs w:val="24"/>
          <w:lang/>
        </w:rPr>
      </w:pPr>
    </w:p>
    <w:p w14:paraId="55EC6719" w14:textId="77777777" w:rsidR="00D53680" w:rsidRPr="00B96ADF" w:rsidRDefault="00D53680" w:rsidP="00B96ADF">
      <w:pPr>
        <w:pStyle w:val="Titre1"/>
        <w:spacing w:line="360" w:lineRule="auto"/>
        <w:rPr>
          <w:rFonts w:ascii="Cambria" w:hAnsi="Cambria" w:cstheme="minorHAnsi"/>
          <w:b/>
          <w:bCs/>
          <w:color w:val="auto"/>
          <w:sz w:val="24"/>
          <w:szCs w:val="24"/>
          <w:lang/>
        </w:rPr>
      </w:pPr>
      <w:bookmarkStart w:id="21" w:name="_Toc234795846"/>
      <w:r w:rsidRPr="00B96ADF">
        <w:rPr>
          <w:rFonts w:ascii="Cambria" w:hAnsi="Cambria" w:cstheme="minorHAnsi"/>
          <w:b/>
          <w:bCs/>
          <w:color w:val="auto"/>
          <w:sz w:val="24"/>
          <w:szCs w:val="24"/>
          <w:lang/>
        </w:rPr>
        <w:t>7. Cadre de mise en œuvre</w:t>
      </w:r>
      <w:bookmarkEnd w:id="21"/>
    </w:p>
    <w:p w14:paraId="693C118E" w14:textId="77777777" w:rsidR="00D53680" w:rsidRPr="00B96ADF" w:rsidRDefault="00D53680" w:rsidP="00B96ADF">
      <w:pPr>
        <w:pStyle w:val="Titre2"/>
        <w:spacing w:line="360" w:lineRule="auto"/>
        <w:rPr>
          <w:rFonts w:ascii="Cambria" w:hAnsi="Cambria" w:cstheme="minorHAnsi"/>
          <w:b/>
          <w:bCs/>
          <w:color w:val="auto"/>
          <w:sz w:val="24"/>
          <w:szCs w:val="24"/>
          <w:lang/>
        </w:rPr>
      </w:pPr>
      <w:bookmarkStart w:id="22" w:name="_Toc234795847"/>
      <w:r w:rsidRPr="00B96ADF">
        <w:rPr>
          <w:rFonts w:ascii="Cambria" w:hAnsi="Cambria" w:cstheme="minorHAnsi"/>
          <w:b/>
          <w:bCs/>
          <w:color w:val="auto"/>
          <w:sz w:val="24"/>
          <w:szCs w:val="24"/>
          <w:lang/>
        </w:rPr>
        <w:t>7.1 Introduction</w:t>
      </w:r>
      <w:bookmarkEnd w:id="22"/>
    </w:p>
    <w:p w14:paraId="407A6EDF"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 succès de cette stratégie dépendra non seulement de la pertinence de ses priorités stratégiques, mais aussi de la capacité de l’AICA à les traduire en actions coordonnées et mesurables. Sa mise en œuvre exigera donc un leadership fort, une gouvernance efficace, des ressources adéquates et un dialogue constant avec ses membres et partenaires stratégiques.</w:t>
      </w:r>
    </w:p>
    <w:p w14:paraId="33FC2546"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 tant qu'alliance continentale, l'AICA tire son avantage comparatif de sa capacité à rassembler, coordonner et influencer plutôt qu'à mettre en œuvre directement toutes les activités. L'Alliance adoptera donc une approche collaborative de mise en œuvre, où les responsabilités sont partagées entre le Secrétariat, les structures de gouvernance, les organisations membres et les partenaires stratégiques. Cette approche reconnaît que des changements significatifs et durables sont possibles lorsque les peuples autochtones et les communautés locales pilotent la mise en œuvre, tandis que l'AICA assure la coordination, le soutien technique, le plaidoyer et le leadership stratégique.</w:t>
      </w:r>
    </w:p>
    <w:p w14:paraId="6B2EB41C"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La mise en œuvre sera guidée par des plans opérationnels annuels conformes aux priorités stratégiques énoncées dans le présent document. Ces plans définiront les priorités, les activités, les responsabilités, les échéanciers et les besoins en ressources annuels, tout en restant suffisamment flexibles pour saisir les opportunités émergentes, s’adapter à l’évolution du contexte politique et aux priorités changeantes des membres.</w:t>
      </w:r>
    </w:p>
    <w:p w14:paraId="6BE87789" w14:textId="77777777" w:rsidR="00D53680" w:rsidRPr="00B96ADF" w:rsidRDefault="00D53680" w:rsidP="00B96ADF">
      <w:pPr>
        <w:pStyle w:val="Titre2"/>
        <w:spacing w:line="360" w:lineRule="auto"/>
        <w:rPr>
          <w:rFonts w:ascii="Cambria" w:hAnsi="Cambria" w:cstheme="minorHAnsi"/>
          <w:b/>
          <w:bCs/>
          <w:color w:val="auto"/>
          <w:sz w:val="24"/>
          <w:szCs w:val="24"/>
          <w:lang/>
        </w:rPr>
      </w:pPr>
      <w:bookmarkStart w:id="23" w:name="_Toc234795848"/>
      <w:r w:rsidRPr="00B96ADF">
        <w:rPr>
          <w:rFonts w:ascii="Cambria" w:hAnsi="Cambria" w:cstheme="minorHAnsi"/>
          <w:b/>
          <w:bCs/>
          <w:color w:val="auto"/>
          <w:sz w:val="24"/>
          <w:szCs w:val="24"/>
          <w:lang/>
        </w:rPr>
        <w:t>7.2 Rôles et responsabilités institutionnels</w:t>
      </w:r>
      <w:bookmarkEnd w:id="23"/>
    </w:p>
    <w:p w14:paraId="503EA659" w14:textId="77777777" w:rsidR="00D53680" w:rsidRPr="00B96ADF" w:rsidRDefault="00D53680"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L'Assemblée générale</w:t>
      </w:r>
    </w:p>
    <w:p w14:paraId="0E808D9C"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L’Assemblée générale est l’organe décisionnel suprême de l’AICA et définit l’orientation stratégique globale de l’Alliance. Elle est chargée d’approuver la stratégie, d’examiner les progrès de sa mise en œuvre et de veiller à ce que les activités de l’Alliance répondent aux aspirations de ses membres.</w:t>
      </w:r>
    </w:p>
    <w:p w14:paraId="7AEF3280" w14:textId="0F708BCC"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L’Assemblée générale approuvera les priorités stratégiques et les grandes orientations politiques, examinera les progrès de leur mise en œuvre et fournira des orientations stratégiques au Conseil d’administration.</w:t>
      </w:r>
    </w:p>
    <w:p w14:paraId="7A08D53E" w14:textId="77777777" w:rsidR="00D53680" w:rsidRPr="00B96ADF" w:rsidRDefault="00D53680"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Conseil d'administration</w:t>
      </w:r>
    </w:p>
    <w:p w14:paraId="3FE9AA74"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 Conseil d’administration supervisera la mise en œuvre et veillera à ce que la stratégie se traduise en actions concrètes.</w:t>
      </w:r>
    </w:p>
    <w:p w14:paraId="023CF298"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Ses responsabilités comprendront :</w:t>
      </w:r>
    </w:p>
    <w:p w14:paraId="77336B83" w14:textId="77777777" w:rsidR="00D53680" w:rsidRPr="00B96ADF" w:rsidRDefault="00D53680" w:rsidP="00B96ADF">
      <w:pPr>
        <w:numPr>
          <w:ilvl w:val="0"/>
          <w:numId w:val="41"/>
        </w:numPr>
        <w:spacing w:line="360" w:lineRule="auto"/>
        <w:jc w:val="both"/>
        <w:rPr>
          <w:rFonts w:ascii="Cambria" w:hAnsi="Cambria" w:cstheme="minorHAnsi"/>
          <w:sz w:val="24"/>
          <w:szCs w:val="24"/>
          <w:lang/>
        </w:rPr>
      </w:pPr>
      <w:r w:rsidRPr="00B96ADF">
        <w:rPr>
          <w:rFonts w:ascii="Cambria" w:hAnsi="Cambria" w:cstheme="minorHAnsi"/>
          <w:sz w:val="24"/>
          <w:szCs w:val="24"/>
          <w:lang/>
        </w:rPr>
        <w:t>Assurer la supervision stratégique.</w:t>
      </w:r>
    </w:p>
    <w:p w14:paraId="0AB06693" w14:textId="77777777" w:rsidR="00D53680" w:rsidRPr="00B96ADF" w:rsidRDefault="00D53680" w:rsidP="00B96ADF">
      <w:pPr>
        <w:numPr>
          <w:ilvl w:val="0"/>
          <w:numId w:val="41"/>
        </w:numPr>
        <w:spacing w:line="360" w:lineRule="auto"/>
        <w:jc w:val="both"/>
        <w:rPr>
          <w:rFonts w:ascii="Cambria" w:hAnsi="Cambria" w:cstheme="minorHAnsi"/>
          <w:sz w:val="24"/>
          <w:szCs w:val="24"/>
          <w:lang/>
        </w:rPr>
      </w:pPr>
      <w:r w:rsidRPr="00B96ADF">
        <w:rPr>
          <w:rFonts w:ascii="Cambria" w:hAnsi="Cambria" w:cstheme="minorHAnsi"/>
          <w:sz w:val="24"/>
          <w:szCs w:val="24"/>
          <w:lang/>
        </w:rPr>
        <w:t>Approbation des plans de travail et des budgets annuels.</w:t>
      </w:r>
    </w:p>
    <w:p w14:paraId="2C5BC1B0" w14:textId="77777777" w:rsidR="00D53680" w:rsidRPr="00B96ADF" w:rsidRDefault="00D53680" w:rsidP="00B96ADF">
      <w:pPr>
        <w:numPr>
          <w:ilvl w:val="0"/>
          <w:numId w:val="41"/>
        </w:numPr>
        <w:spacing w:line="360" w:lineRule="auto"/>
        <w:jc w:val="both"/>
        <w:rPr>
          <w:rFonts w:ascii="Cambria" w:hAnsi="Cambria" w:cstheme="minorHAnsi"/>
          <w:sz w:val="24"/>
          <w:szCs w:val="24"/>
          <w:lang/>
        </w:rPr>
      </w:pPr>
      <w:r w:rsidRPr="00B96ADF">
        <w:rPr>
          <w:rFonts w:ascii="Cambria" w:hAnsi="Cambria" w:cstheme="minorHAnsi"/>
          <w:sz w:val="24"/>
          <w:szCs w:val="24"/>
          <w:lang/>
        </w:rPr>
        <w:t>Suivi des progrès de la mise en œuvre.</w:t>
      </w:r>
    </w:p>
    <w:p w14:paraId="57223DD3" w14:textId="77777777" w:rsidR="00D53680" w:rsidRPr="00B96ADF" w:rsidRDefault="00D53680" w:rsidP="00B96ADF">
      <w:pPr>
        <w:numPr>
          <w:ilvl w:val="0"/>
          <w:numId w:val="41"/>
        </w:numPr>
        <w:spacing w:line="360" w:lineRule="auto"/>
        <w:jc w:val="both"/>
        <w:rPr>
          <w:rFonts w:ascii="Cambria" w:hAnsi="Cambria" w:cstheme="minorHAnsi"/>
          <w:sz w:val="24"/>
          <w:szCs w:val="24"/>
          <w:lang/>
        </w:rPr>
      </w:pPr>
      <w:r w:rsidRPr="00B96ADF">
        <w:rPr>
          <w:rFonts w:ascii="Cambria" w:hAnsi="Cambria" w:cstheme="minorHAnsi"/>
          <w:sz w:val="24"/>
          <w:szCs w:val="24"/>
          <w:lang/>
        </w:rPr>
        <w:t>Soutenir les efforts de mobilisation des ressources.</w:t>
      </w:r>
    </w:p>
    <w:p w14:paraId="57AAAD07" w14:textId="77777777" w:rsidR="00D53680" w:rsidRPr="00B96ADF" w:rsidRDefault="00D53680" w:rsidP="00B96ADF">
      <w:pPr>
        <w:numPr>
          <w:ilvl w:val="0"/>
          <w:numId w:val="41"/>
        </w:numPr>
        <w:spacing w:line="360" w:lineRule="auto"/>
        <w:jc w:val="both"/>
        <w:rPr>
          <w:rFonts w:ascii="Cambria" w:hAnsi="Cambria" w:cstheme="minorHAnsi"/>
          <w:sz w:val="24"/>
          <w:szCs w:val="24"/>
          <w:lang/>
        </w:rPr>
      </w:pPr>
      <w:r w:rsidRPr="00B96ADF">
        <w:rPr>
          <w:rFonts w:ascii="Cambria" w:hAnsi="Cambria" w:cstheme="minorHAnsi"/>
          <w:sz w:val="24"/>
          <w:szCs w:val="24"/>
          <w:lang/>
        </w:rPr>
        <w:t>Renforcer les partenariats avec les institutions régionales et internationales.</w:t>
      </w:r>
    </w:p>
    <w:p w14:paraId="49BCDC87" w14:textId="77777777" w:rsidR="00D53680" w:rsidRPr="00B96ADF" w:rsidRDefault="00D53680" w:rsidP="00B96ADF">
      <w:pPr>
        <w:numPr>
          <w:ilvl w:val="0"/>
          <w:numId w:val="41"/>
        </w:numPr>
        <w:spacing w:line="360" w:lineRule="auto"/>
        <w:jc w:val="both"/>
        <w:rPr>
          <w:rFonts w:ascii="Cambria" w:hAnsi="Cambria" w:cstheme="minorHAnsi"/>
          <w:sz w:val="24"/>
          <w:szCs w:val="24"/>
          <w:lang/>
        </w:rPr>
      </w:pPr>
      <w:r w:rsidRPr="00B96ADF">
        <w:rPr>
          <w:rFonts w:ascii="Cambria" w:hAnsi="Cambria" w:cstheme="minorHAnsi"/>
          <w:sz w:val="24"/>
          <w:szCs w:val="24"/>
          <w:lang/>
        </w:rPr>
        <w:t>Garantir une gouvernance et une responsabilisation efficaces.</w:t>
      </w:r>
    </w:p>
    <w:p w14:paraId="6D6511F7"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 Conseil examinera régulièrement les résultats de la mise en œuvre et fournira des orientations sur les nouvelles opportunités et les risques stratégiques.</w:t>
      </w:r>
    </w:p>
    <w:p w14:paraId="151D678B" w14:textId="77777777" w:rsidR="00D53680" w:rsidRPr="00B96ADF" w:rsidRDefault="00D53680"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Secrétariat</w:t>
      </w:r>
    </w:p>
    <w:p w14:paraId="1431991F" w14:textId="54097E2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Le Secrétariat assurera la coordination et la mise en œuvre quotidienne de la Stratégie. Ses responsabilités comprendront notamment :</w:t>
      </w:r>
    </w:p>
    <w:p w14:paraId="4DCBF54E"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Coordination de la mise en œuvre pour l'ensemble des piliers stratégiques.</w:t>
      </w:r>
    </w:p>
    <w:p w14:paraId="248E9046"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Préparation des plans opérationnels et des budgets annuels.</w:t>
      </w:r>
    </w:p>
    <w:p w14:paraId="0C41863B"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Coordination des initiatives de plaidoyer.</w:t>
      </w:r>
    </w:p>
    <w:p w14:paraId="48C72CC5"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Gérer les partenariats.</w:t>
      </w:r>
    </w:p>
    <w:p w14:paraId="1C0D6945"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Soutien aux organisations membres.</w:t>
      </w:r>
    </w:p>
    <w:p w14:paraId="498C3E87"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Suivi des progrès de la mise en œuvre.</w:t>
      </w:r>
    </w:p>
    <w:p w14:paraId="24479F4E"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Gestion des communications et des produits de connaissances.</w:t>
      </w:r>
    </w:p>
    <w:p w14:paraId="6AB73A24"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Coordination de la mobilisation des ressources.</w:t>
      </w:r>
    </w:p>
    <w:p w14:paraId="123E69DF" w14:textId="77777777" w:rsidR="00D53680" w:rsidRPr="00B96ADF" w:rsidRDefault="00D53680" w:rsidP="00B96ADF">
      <w:pPr>
        <w:numPr>
          <w:ilvl w:val="0"/>
          <w:numId w:val="42"/>
        </w:numPr>
        <w:spacing w:line="360" w:lineRule="auto"/>
        <w:jc w:val="both"/>
        <w:rPr>
          <w:rFonts w:ascii="Cambria" w:hAnsi="Cambria" w:cstheme="minorHAnsi"/>
          <w:sz w:val="24"/>
          <w:szCs w:val="24"/>
          <w:lang/>
        </w:rPr>
      </w:pPr>
      <w:r w:rsidRPr="00B96ADF">
        <w:rPr>
          <w:rFonts w:ascii="Cambria" w:hAnsi="Cambria" w:cstheme="minorHAnsi"/>
          <w:sz w:val="24"/>
          <w:szCs w:val="24"/>
          <w:lang/>
        </w:rPr>
        <w:t>Rendre compte aux structures de gouvernance et aux partenaires de développement.</w:t>
      </w:r>
    </w:p>
    <w:p w14:paraId="7F704DF9"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 Secrétariat servira également de principal point de coordination pour les initiatives de plaidoyer régionales et internationales entreprises par l'Alliance.</w:t>
      </w:r>
    </w:p>
    <w:p w14:paraId="6091BBDC" w14:textId="77777777" w:rsidR="00D53680" w:rsidRPr="00B96ADF" w:rsidRDefault="00D53680"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Organisations membres</w:t>
      </w:r>
    </w:p>
    <w:p w14:paraId="51E0D12B"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organisations membres sont essentielles à la mise en œuvre de cette stratégie. Elles joueront un rôle de premier plan dans la définition des priorités en matière de plaidoyer, la production de données probantes, la mise en œuvre d’initiatives communautaires et la représentation des voix autochtones dans les processus d’élaboration des politiques nationales.</w:t>
      </w:r>
    </w:p>
    <w:p w14:paraId="38C54E31"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organisations membres devront :</w:t>
      </w:r>
    </w:p>
    <w:p w14:paraId="0455730A" w14:textId="77777777" w:rsidR="00D53680" w:rsidRPr="00B96ADF" w:rsidRDefault="00D53680" w:rsidP="00B96ADF">
      <w:pPr>
        <w:numPr>
          <w:ilvl w:val="0"/>
          <w:numId w:val="43"/>
        </w:numPr>
        <w:spacing w:line="360" w:lineRule="auto"/>
        <w:jc w:val="both"/>
        <w:rPr>
          <w:rFonts w:ascii="Cambria" w:hAnsi="Cambria" w:cstheme="minorHAnsi"/>
          <w:sz w:val="24"/>
          <w:szCs w:val="24"/>
          <w:lang/>
        </w:rPr>
      </w:pPr>
      <w:r w:rsidRPr="00B96ADF">
        <w:rPr>
          <w:rFonts w:ascii="Cambria" w:hAnsi="Cambria" w:cstheme="minorHAnsi"/>
          <w:sz w:val="24"/>
          <w:szCs w:val="24"/>
          <w:lang/>
        </w:rPr>
        <w:t>Participez activement à la gouvernance de l'AICA.</w:t>
      </w:r>
    </w:p>
    <w:p w14:paraId="5D2AF3D0" w14:textId="77777777" w:rsidR="00D53680" w:rsidRPr="00B96ADF" w:rsidRDefault="00D53680" w:rsidP="00B96ADF">
      <w:pPr>
        <w:numPr>
          <w:ilvl w:val="0"/>
          <w:numId w:val="43"/>
        </w:numPr>
        <w:spacing w:line="360" w:lineRule="auto"/>
        <w:jc w:val="both"/>
        <w:rPr>
          <w:rFonts w:ascii="Cambria" w:hAnsi="Cambria" w:cstheme="minorHAnsi"/>
          <w:sz w:val="24"/>
          <w:szCs w:val="24"/>
          <w:lang/>
        </w:rPr>
      </w:pPr>
      <w:r w:rsidRPr="00B96ADF">
        <w:rPr>
          <w:rFonts w:ascii="Cambria" w:hAnsi="Cambria" w:cstheme="minorHAnsi"/>
          <w:sz w:val="24"/>
          <w:szCs w:val="24"/>
          <w:lang/>
        </w:rPr>
        <w:t>Mener des initiatives nationales de plaidoyer.</w:t>
      </w:r>
    </w:p>
    <w:p w14:paraId="53D860B5" w14:textId="77777777" w:rsidR="00D53680" w:rsidRPr="00B96ADF" w:rsidRDefault="00D53680" w:rsidP="00B96ADF">
      <w:pPr>
        <w:numPr>
          <w:ilvl w:val="0"/>
          <w:numId w:val="43"/>
        </w:numPr>
        <w:spacing w:line="360" w:lineRule="auto"/>
        <w:jc w:val="both"/>
        <w:rPr>
          <w:rFonts w:ascii="Cambria" w:hAnsi="Cambria" w:cstheme="minorHAnsi"/>
          <w:sz w:val="24"/>
          <w:szCs w:val="24"/>
          <w:lang/>
        </w:rPr>
      </w:pPr>
      <w:r w:rsidRPr="00B96ADF">
        <w:rPr>
          <w:rFonts w:ascii="Cambria" w:hAnsi="Cambria" w:cstheme="minorHAnsi"/>
          <w:sz w:val="24"/>
          <w:szCs w:val="24"/>
          <w:lang/>
        </w:rPr>
        <w:t>Partager les preuves et les leçons tirées des communautés.</w:t>
      </w:r>
    </w:p>
    <w:p w14:paraId="2F02DA0B" w14:textId="77777777" w:rsidR="00D53680" w:rsidRPr="00B96ADF" w:rsidRDefault="00D53680" w:rsidP="00B96ADF">
      <w:pPr>
        <w:numPr>
          <w:ilvl w:val="0"/>
          <w:numId w:val="43"/>
        </w:numPr>
        <w:spacing w:line="360" w:lineRule="auto"/>
        <w:jc w:val="both"/>
        <w:rPr>
          <w:rFonts w:ascii="Cambria" w:hAnsi="Cambria" w:cstheme="minorHAnsi"/>
          <w:sz w:val="24"/>
          <w:szCs w:val="24"/>
          <w:lang/>
        </w:rPr>
      </w:pPr>
      <w:r w:rsidRPr="00B96ADF">
        <w:rPr>
          <w:rFonts w:ascii="Cambria" w:hAnsi="Cambria" w:cstheme="minorHAnsi"/>
          <w:sz w:val="24"/>
          <w:szCs w:val="24"/>
          <w:lang/>
        </w:rPr>
        <w:t>Participer aux dialogues régionaux sur l'apprentissage et les politiques publiques.</w:t>
      </w:r>
    </w:p>
    <w:p w14:paraId="1B73AD1E" w14:textId="77777777" w:rsidR="00D53680" w:rsidRPr="00B96ADF" w:rsidRDefault="00D53680" w:rsidP="00B96ADF">
      <w:pPr>
        <w:numPr>
          <w:ilvl w:val="0"/>
          <w:numId w:val="43"/>
        </w:numPr>
        <w:spacing w:line="360" w:lineRule="auto"/>
        <w:jc w:val="both"/>
        <w:rPr>
          <w:rFonts w:ascii="Cambria" w:hAnsi="Cambria" w:cstheme="minorHAnsi"/>
          <w:sz w:val="24"/>
          <w:szCs w:val="24"/>
          <w:lang/>
        </w:rPr>
      </w:pPr>
      <w:r w:rsidRPr="00B96ADF">
        <w:rPr>
          <w:rFonts w:ascii="Cambria" w:hAnsi="Cambria" w:cstheme="minorHAnsi"/>
          <w:sz w:val="24"/>
          <w:szCs w:val="24"/>
          <w:lang/>
        </w:rPr>
        <w:t>Renforcer la communication entre les communautés et l'Alliance.</w:t>
      </w:r>
    </w:p>
    <w:p w14:paraId="3FC51890" w14:textId="77777777" w:rsidR="00D53680" w:rsidRPr="00B96ADF" w:rsidRDefault="00D53680" w:rsidP="00B96ADF">
      <w:pPr>
        <w:numPr>
          <w:ilvl w:val="0"/>
          <w:numId w:val="43"/>
        </w:num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Appuyer la mise en œuvre des campagnes continentales.</w:t>
      </w:r>
    </w:p>
    <w:p w14:paraId="074C1CCA"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mise en œuvre restera fondée sur les priorités de la communauté plutôt que d'être pilotée uniquement par le Secrétariat.</w:t>
      </w:r>
    </w:p>
    <w:p w14:paraId="2A80982A" w14:textId="77777777" w:rsidR="00D53680" w:rsidRPr="00B96ADF" w:rsidRDefault="00D53680" w:rsidP="00B96ADF">
      <w:pPr>
        <w:spacing w:line="360" w:lineRule="auto"/>
        <w:jc w:val="both"/>
        <w:rPr>
          <w:rFonts w:ascii="Cambria" w:hAnsi="Cambria" w:cstheme="minorHAnsi"/>
          <w:b/>
          <w:bCs/>
          <w:sz w:val="24"/>
          <w:szCs w:val="24"/>
          <w:lang/>
        </w:rPr>
      </w:pPr>
      <w:r w:rsidRPr="00B96ADF">
        <w:rPr>
          <w:rFonts w:ascii="Cambria" w:hAnsi="Cambria" w:cstheme="minorHAnsi"/>
          <w:b/>
          <w:bCs/>
          <w:sz w:val="24"/>
          <w:szCs w:val="24"/>
          <w:lang/>
        </w:rPr>
        <w:t>Partenaires stratégiques</w:t>
      </w:r>
    </w:p>
    <w:p w14:paraId="225A4905"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gouvernements, les institutions régionales, les organisations de la société civile, les agences de conservation, les instituts de recherche, les donateurs et les organisations philanthropiques contribueront à la mise en œuvre par le biais d'une collaboration technique, d'un soutien financier, de partenariats de recherche et d'initiatives conjointes de plaidoyer.</w:t>
      </w:r>
    </w:p>
    <w:p w14:paraId="7CAFFC69"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partenariats seront guidés par des objectifs clairement définis et une responsabilité mutuelle, tout en respectant l'indépendance de l'AICA et son identité dirigée par les Autochtones.</w:t>
      </w:r>
    </w:p>
    <w:p w14:paraId="30E880A9" w14:textId="77777777" w:rsidR="004E3895" w:rsidRPr="00B96ADF" w:rsidRDefault="004E3895" w:rsidP="00B96ADF">
      <w:pPr>
        <w:spacing w:line="360" w:lineRule="auto"/>
        <w:jc w:val="both"/>
        <w:rPr>
          <w:rFonts w:ascii="Cambria" w:hAnsi="Cambria" w:cstheme="minorHAnsi"/>
          <w:sz w:val="24"/>
          <w:szCs w:val="24"/>
          <w:lang/>
        </w:rPr>
      </w:pPr>
    </w:p>
    <w:p w14:paraId="0E639ED3" w14:textId="4CE60F5F" w:rsidR="00D53680" w:rsidRPr="00B96ADF" w:rsidRDefault="00D53680" w:rsidP="00B96ADF">
      <w:pPr>
        <w:pStyle w:val="Titre2"/>
        <w:spacing w:line="360" w:lineRule="auto"/>
        <w:rPr>
          <w:rFonts w:ascii="Cambria" w:hAnsi="Cambria" w:cstheme="minorHAnsi"/>
          <w:b/>
          <w:bCs/>
          <w:sz w:val="24"/>
          <w:szCs w:val="24"/>
          <w:lang/>
        </w:rPr>
      </w:pPr>
      <w:bookmarkStart w:id="24" w:name="_Toc234795849"/>
      <w:r w:rsidRPr="00B96ADF">
        <w:rPr>
          <w:rFonts w:ascii="Cambria" w:hAnsi="Cambria" w:cstheme="minorHAnsi"/>
          <w:b/>
          <w:bCs/>
          <w:color w:val="auto"/>
          <w:sz w:val="24"/>
          <w:szCs w:val="24"/>
          <w:lang/>
        </w:rPr>
        <w:t>7.3 Approche de mise en œuvre</w:t>
      </w:r>
      <w:bookmarkEnd w:id="24"/>
    </w:p>
    <w:p w14:paraId="1ED0C817"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mise en œuvre de cette stratégie sera guidée par cinq approches complémentaires.</w:t>
      </w:r>
    </w:p>
    <w:p w14:paraId="4A98E01D"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Mise en œuvre menée par les membres</w:t>
      </w:r>
    </w:p>
    <w:p w14:paraId="65DA967E"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Toutes les interventions stratégiques tiendront compte des priorités des peuples autochtones et des communautés locales. Plutôt que de mettre en œuvre des programmes au nom des communautés, l’AICA renforcera la capacité de ses membres à mener des actions de plaidoyer, à influencer les politiques et à développer leurs organisations.</w:t>
      </w:r>
    </w:p>
    <w:p w14:paraId="73431A3C"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Prestation fondée sur le partenariat</w:t>
      </w:r>
    </w:p>
    <w:p w14:paraId="705252A0"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Compte tenu de l'étendue du mandat de l'AICA , la collaboration restera essentielle à sa mise en œuvre. L'Alliance travaillera avec les gouvernements, les institutions régionales, les organismes de recherche, les agences de conservation et les partenaires au développement afin d'optimiser l'impact tout en évitant les doublons.</w:t>
      </w:r>
    </w:p>
    <w:p w14:paraId="176F37AF"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Gestion adaptative</w:t>
      </w:r>
    </w:p>
    <w:p w14:paraId="49FAB025" w14:textId="64CE105E"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Le contexte politique touchant les peuples autochtones et les communautés locales est en constante évolution. De nouvelles opportunités et de nouveaux défis pourraient surgir </w:t>
      </w:r>
      <w:r w:rsidRPr="00B96ADF">
        <w:rPr>
          <w:rFonts w:ascii="Cambria" w:hAnsi="Cambria" w:cstheme="minorHAnsi"/>
          <w:sz w:val="24"/>
          <w:szCs w:val="24"/>
          <w:lang/>
        </w:rPr>
        <w:lastRenderedPageBreak/>
        <w:t>tout au long de la période de mise en œuvre, notamment des réformes législatives, des changements dans les politiques de conservation, l’évolution du financement climatique ou l’émergence de nouvelles menaces aux droits des Autochtones. L’AICA adoptera donc une approche de gestion adaptative permettant de revoir et d’ajuster les priorités annuelles tout en maintenant leur cohérence avec les objectifs stratégiques généraux.</w:t>
      </w:r>
    </w:p>
    <w:p w14:paraId="2620D5FA"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Prise de décision fondée sur des données probantes</w:t>
      </w:r>
    </w:p>
    <w:p w14:paraId="0847C0C2" w14:textId="2E0DDB39"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mise en œuvre s’appuiera sur des données probantes issues des organisations membres, des systèmes de connaissances autochtones, de la recherche, du suivi et de l’apprentissage continu. La planification annuelle et les examens stratégiques s’appuieront sur ces données pour renforcer la prise de décision et améliorer l’efficacité du programme.</w:t>
      </w:r>
    </w:p>
    <w:p w14:paraId="645BA2B3"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Apprentissage et amélioration continue</w:t>
      </w:r>
    </w:p>
    <w:p w14:paraId="7B3CB9FD" w14:textId="005EF57B"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L’apprentissage sera intégré tout au long de la mise en œuvre. L’Alliance documentera régulièrement les enseignements tirés, partagera les expériences entre ses membres et adaptera ses stratégies de plaidoyer en fonction des données probantes issues de la mise en œuvre. Les connaissances acquises grâce à cette mise en œuvre renforceront l’engagement politique futur et contribueront à un apprentissage plus large sur les droits des peuples autochtones et la conservation menée par les communautés.</w:t>
      </w:r>
    </w:p>
    <w:p w14:paraId="26FF0AC5" w14:textId="77777777" w:rsidR="00D53680" w:rsidRPr="00B96ADF" w:rsidRDefault="00D53680" w:rsidP="00B96ADF">
      <w:pPr>
        <w:pStyle w:val="Titre2"/>
        <w:spacing w:line="360" w:lineRule="auto"/>
        <w:rPr>
          <w:rFonts w:ascii="Cambria" w:hAnsi="Cambria" w:cstheme="minorHAnsi"/>
          <w:b/>
          <w:bCs/>
          <w:color w:val="auto"/>
          <w:sz w:val="24"/>
          <w:szCs w:val="24"/>
          <w:lang/>
        </w:rPr>
      </w:pPr>
      <w:bookmarkStart w:id="25" w:name="_Toc234795850"/>
      <w:r w:rsidRPr="00B96ADF">
        <w:rPr>
          <w:rFonts w:ascii="Cambria" w:hAnsi="Cambria" w:cstheme="minorHAnsi"/>
          <w:b/>
          <w:bCs/>
          <w:color w:val="auto"/>
          <w:sz w:val="24"/>
          <w:szCs w:val="24"/>
          <w:lang/>
        </w:rPr>
        <w:t>7.4 Mobilisation des ressources</w:t>
      </w:r>
      <w:bookmarkEnd w:id="25"/>
    </w:p>
    <w:p w14:paraId="214CF472"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réussite de sa mise en œuvre nécessitera des ressources financières, techniques et humaines adéquates.</w:t>
      </w:r>
    </w:p>
    <w:p w14:paraId="204A7AD4"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L’AICA poursuivra une stratégie de mobilisation des ressources diversifiée visant à réduire sa dépendance à l’égard des donateurs individuels tout en renforçant sa viabilité institutionnelle.</w:t>
      </w:r>
    </w:p>
    <w:p w14:paraId="6456E072"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sources de financement prioritaires comprendront :</w:t>
      </w:r>
    </w:p>
    <w:p w14:paraId="73ED4F8D"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t>Agences bilatérales de développement.</w:t>
      </w:r>
    </w:p>
    <w:p w14:paraId="7211C1C4"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t>Organisations multilatérales.</w:t>
      </w:r>
    </w:p>
    <w:p w14:paraId="2E436B9F"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t>Mécanismes de financement pour le climat et la biodiversité.</w:t>
      </w:r>
    </w:p>
    <w:p w14:paraId="6B84907F"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t>Fondations philanthropiques.</w:t>
      </w:r>
    </w:p>
    <w:p w14:paraId="57A83AE4"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lastRenderedPageBreak/>
        <w:t>Partenariats stratégiques.</w:t>
      </w:r>
    </w:p>
    <w:p w14:paraId="6BE82640"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t>Cotisations des membres, le cas échéant.</w:t>
      </w:r>
    </w:p>
    <w:p w14:paraId="441054E5" w14:textId="77777777" w:rsidR="00D53680" w:rsidRPr="00B96ADF" w:rsidRDefault="00D53680" w:rsidP="00B96ADF">
      <w:pPr>
        <w:numPr>
          <w:ilvl w:val="0"/>
          <w:numId w:val="48"/>
        </w:numPr>
        <w:spacing w:line="360" w:lineRule="auto"/>
        <w:jc w:val="both"/>
        <w:rPr>
          <w:rFonts w:ascii="Cambria" w:hAnsi="Cambria" w:cstheme="minorHAnsi"/>
          <w:sz w:val="24"/>
          <w:szCs w:val="24"/>
          <w:lang/>
        </w:rPr>
      </w:pPr>
      <w:r w:rsidRPr="00B96ADF">
        <w:rPr>
          <w:rFonts w:ascii="Cambria" w:hAnsi="Cambria" w:cstheme="minorHAnsi"/>
          <w:sz w:val="24"/>
          <w:szCs w:val="24"/>
          <w:lang/>
        </w:rPr>
        <w:t>Collecte de fonds en collaboration avec les organisations membres.</w:t>
      </w:r>
    </w:p>
    <w:p w14:paraId="4195A18B"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mobilisation des ressources visera non seulement à soutenir le Secrétariat, mais aussi à accroître les investissements directs dans les peuples autochtones et les communautés locales.</w:t>
      </w:r>
    </w:p>
    <w:p w14:paraId="0C096DD7" w14:textId="77777777" w:rsidR="00D53680" w:rsidRPr="00B96ADF" w:rsidRDefault="00D53680" w:rsidP="00B96ADF">
      <w:pPr>
        <w:pStyle w:val="Titre2"/>
        <w:spacing w:line="360" w:lineRule="auto"/>
        <w:rPr>
          <w:rFonts w:ascii="Cambria" w:hAnsi="Cambria" w:cstheme="minorHAnsi"/>
          <w:b/>
          <w:bCs/>
          <w:color w:val="auto"/>
          <w:sz w:val="24"/>
          <w:szCs w:val="24"/>
          <w:lang/>
        </w:rPr>
      </w:pPr>
      <w:bookmarkStart w:id="26" w:name="_Toc234795851"/>
      <w:r w:rsidRPr="00B96ADF">
        <w:rPr>
          <w:rFonts w:ascii="Cambria" w:hAnsi="Cambria" w:cstheme="minorHAnsi"/>
          <w:b/>
          <w:bCs/>
          <w:color w:val="auto"/>
          <w:sz w:val="24"/>
          <w:szCs w:val="24"/>
          <w:lang/>
        </w:rPr>
        <w:t>7.5 Planification annuelle</w:t>
      </w:r>
      <w:bookmarkEnd w:id="26"/>
    </w:p>
    <w:p w14:paraId="60C78242"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Cette stratégie définit l’orientation générale pour la période 2026-2030.</w:t>
      </w:r>
    </w:p>
    <w:p w14:paraId="41367470" w14:textId="47756361"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mise en œuvre se fera par le biais de plans de travail annuels qui permettront de : identifier les priorités annuelles ; définir les activités spécifiques ; répartir les responsabilités ; établir les échéanciers ; déterminer les besoins budgétaires ; identifier les indicateurs de performance et suivre l’avancement de la mise en œuvre.</w:t>
      </w:r>
    </w:p>
    <w:p w14:paraId="611DD6B6" w14:textId="77777777" w:rsidR="00D53680" w:rsidRPr="00B96ADF" w:rsidRDefault="00D53680"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plans de travail annuels offriront une flexibilité suffisante pour répondre aux nouvelles opportunités politiques tout en assurant la cohérence avec l'orientation stratégique à long terme.</w:t>
      </w:r>
    </w:p>
    <w:p w14:paraId="297AC52E" w14:textId="77777777" w:rsidR="004E3895" w:rsidRPr="00B96ADF" w:rsidRDefault="004E3895" w:rsidP="00B96ADF">
      <w:pPr>
        <w:pStyle w:val="Titre1"/>
        <w:spacing w:line="360" w:lineRule="auto"/>
        <w:rPr>
          <w:rFonts w:ascii="Cambria" w:hAnsi="Cambria" w:cstheme="minorHAnsi"/>
          <w:b/>
          <w:bCs/>
          <w:color w:val="auto"/>
          <w:sz w:val="24"/>
          <w:szCs w:val="24"/>
          <w:lang/>
        </w:rPr>
      </w:pPr>
      <w:bookmarkStart w:id="27" w:name="_Toc234795852"/>
      <w:r w:rsidRPr="00B96ADF">
        <w:rPr>
          <w:rFonts w:ascii="Cambria" w:hAnsi="Cambria" w:cstheme="minorHAnsi"/>
          <w:b/>
          <w:bCs/>
          <w:color w:val="auto"/>
          <w:sz w:val="24"/>
          <w:szCs w:val="24"/>
          <w:lang/>
        </w:rPr>
        <w:t>Conclusion</w:t>
      </w:r>
      <w:bookmarkEnd w:id="27"/>
    </w:p>
    <w:p w14:paraId="65EB3446" w14:textId="77777777" w:rsidR="004E3895" w:rsidRPr="00B96ADF" w:rsidRDefault="004E3895"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L’Afrique se trouve à un tournant décisif de ses efforts pour préserver la biodiversité, lutter contre le changement climatique et poursuivre un développement durable. Les décisions prises aujourd’hui façonneront non seulement l’avenir des écosystèmes du continent, mais aussi le bien-être, les cultures et les moyens de subsistance de millions de peuples autochtones et de communautés locales qui ont façonné ces territoires depuis des générations.</w:t>
      </w:r>
    </w:p>
    <w:p w14:paraId="0B4154F9" w14:textId="77777777" w:rsidR="004E3895" w:rsidRPr="00B96ADF" w:rsidRDefault="004E3895"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 xml:space="preserve">Cette stratégie de plaidoyer et d’engagement réaffirme l’engagement de l’AICA à faire reconnaître les peuples autochtones et les communautés locales comme détenteurs de droits, de savoirs et partenaires indispensables à l’élaboration de ces décisions. Elle propose une feuille de route claire et concrète pour renforcer le leadership autochtone, faire progresser la réforme des politiques, garantir les droits fonciers des communautés, promouvoir une conservation fondée sur les droits et amplifier la voix des peuples </w:t>
      </w:r>
      <w:r w:rsidRPr="00B96ADF">
        <w:rPr>
          <w:rFonts w:ascii="Cambria" w:hAnsi="Cambria" w:cstheme="minorHAnsi"/>
          <w:sz w:val="24"/>
          <w:szCs w:val="24"/>
          <w:lang/>
        </w:rPr>
        <w:lastRenderedPageBreak/>
        <w:t>autochtones africains dans les processus politiques nationaux, régionaux et internationaux.</w:t>
      </w:r>
    </w:p>
    <w:p w14:paraId="64658B61" w14:textId="77777777" w:rsidR="004E3895" w:rsidRPr="00B96ADF" w:rsidRDefault="004E3895"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La réussite de cette stratégie repose sur l’engagement collectif des membres, des structures de gouvernance, des partenaires et des soutiens de l’AICA . Ensemble, l’Alliance peut bâtir un mouvement autochtone plus fort et mieux coordonné, influencer les politiques et les institutions, et créer un environnement favorable permettant aux peuples autochtones et aux communautés locales d’exercer leurs droits, de préserver leurs savoirs et de contribuer pleinement au programme de conservation et de développement de l’Afrique.</w:t>
      </w:r>
    </w:p>
    <w:p w14:paraId="26A0E78D" w14:textId="77777777" w:rsidR="004E3895" w:rsidRPr="00B96ADF" w:rsidRDefault="004E3895"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En définitive, cette stratégie est bien plus qu'un simple plan d'action. Elle représente un engagement commun en faveur de la justice, de l'équité et de l'autodétermination des peuples autochtones et des communautés locales à travers l'Afrique. Par la collaboration, la solidarité et un plaidoyer constant, l'AICA continuera de défendre un avenir où la conservation et le développement se concrétisent avec les peuples autochtones et les communautés locales comme acteurs, partenaires et décideurs.</w:t>
      </w:r>
    </w:p>
    <w:p w14:paraId="0A22B40B" w14:textId="77777777" w:rsidR="004E3895" w:rsidRPr="00B96ADF" w:rsidRDefault="004E3895" w:rsidP="00B96ADF">
      <w:pPr>
        <w:spacing w:line="360" w:lineRule="auto"/>
        <w:jc w:val="both"/>
        <w:rPr>
          <w:rFonts w:ascii="Cambria" w:hAnsi="Cambria" w:cstheme="minorHAnsi"/>
          <w:sz w:val="24"/>
          <w:szCs w:val="24"/>
          <w:lang/>
        </w:rPr>
      </w:pPr>
    </w:p>
    <w:p w14:paraId="6FABE844" w14:textId="77777777" w:rsidR="004E3895" w:rsidRPr="00B96ADF" w:rsidRDefault="004E3895" w:rsidP="00B96ADF">
      <w:pPr>
        <w:spacing w:line="360" w:lineRule="auto"/>
        <w:jc w:val="both"/>
        <w:rPr>
          <w:rFonts w:ascii="Cambria" w:hAnsi="Cambria" w:cstheme="minorHAnsi"/>
          <w:sz w:val="24"/>
          <w:szCs w:val="24"/>
          <w:lang/>
        </w:rPr>
      </w:pPr>
    </w:p>
    <w:p w14:paraId="120344CB" w14:textId="77777777" w:rsidR="004E3895" w:rsidRPr="00B96ADF" w:rsidRDefault="004E3895" w:rsidP="00B96ADF">
      <w:pPr>
        <w:spacing w:line="360" w:lineRule="auto"/>
        <w:jc w:val="both"/>
        <w:rPr>
          <w:rFonts w:ascii="Cambria" w:hAnsi="Cambria" w:cstheme="minorHAnsi"/>
          <w:sz w:val="24"/>
          <w:szCs w:val="24"/>
          <w:lang/>
        </w:rPr>
      </w:pPr>
    </w:p>
    <w:p w14:paraId="2A8E1E56" w14:textId="77777777" w:rsidR="004E3895" w:rsidRPr="00B96ADF" w:rsidRDefault="004E3895" w:rsidP="00B96ADF">
      <w:pPr>
        <w:spacing w:line="360" w:lineRule="auto"/>
        <w:jc w:val="both"/>
        <w:rPr>
          <w:rFonts w:ascii="Cambria" w:hAnsi="Cambria" w:cstheme="minorHAnsi"/>
          <w:sz w:val="24"/>
          <w:szCs w:val="24"/>
          <w:lang/>
        </w:rPr>
      </w:pPr>
    </w:p>
    <w:p w14:paraId="7C0B1B9E" w14:textId="77777777" w:rsidR="004E3895" w:rsidRPr="00B96ADF" w:rsidRDefault="004E3895" w:rsidP="00B96ADF">
      <w:pPr>
        <w:spacing w:line="360" w:lineRule="auto"/>
        <w:jc w:val="both"/>
        <w:rPr>
          <w:rFonts w:ascii="Cambria" w:hAnsi="Cambria" w:cstheme="minorHAnsi"/>
          <w:sz w:val="24"/>
          <w:szCs w:val="24"/>
          <w:lang/>
        </w:rPr>
      </w:pPr>
    </w:p>
    <w:p w14:paraId="26198E47" w14:textId="77777777" w:rsidR="004E3895" w:rsidRPr="00B96ADF" w:rsidRDefault="004E3895" w:rsidP="00B96ADF">
      <w:pPr>
        <w:spacing w:line="360" w:lineRule="auto"/>
        <w:jc w:val="both"/>
        <w:rPr>
          <w:rFonts w:ascii="Cambria" w:hAnsi="Cambria" w:cstheme="minorHAnsi"/>
          <w:sz w:val="24"/>
          <w:szCs w:val="24"/>
          <w:lang/>
        </w:rPr>
      </w:pPr>
    </w:p>
    <w:p w14:paraId="353C87BB" w14:textId="77777777" w:rsidR="0023767F" w:rsidRPr="00B96ADF" w:rsidRDefault="0023767F" w:rsidP="00B96ADF">
      <w:pPr>
        <w:spacing w:line="360" w:lineRule="auto"/>
        <w:jc w:val="both"/>
        <w:rPr>
          <w:rFonts w:ascii="Cambria" w:hAnsi="Cambria" w:cstheme="minorHAnsi"/>
          <w:sz w:val="24"/>
          <w:szCs w:val="24"/>
          <w:lang/>
        </w:rPr>
      </w:pPr>
    </w:p>
    <w:p w14:paraId="3BC22878" w14:textId="77777777" w:rsidR="0023767F" w:rsidRPr="00B96ADF" w:rsidRDefault="0023767F" w:rsidP="00B96ADF">
      <w:pPr>
        <w:spacing w:line="360" w:lineRule="auto"/>
        <w:jc w:val="both"/>
        <w:rPr>
          <w:rFonts w:ascii="Cambria" w:hAnsi="Cambria" w:cstheme="minorHAnsi"/>
          <w:sz w:val="24"/>
          <w:szCs w:val="24"/>
          <w:lang/>
        </w:rPr>
      </w:pPr>
    </w:p>
    <w:p w14:paraId="238C4123" w14:textId="77777777" w:rsidR="0023767F" w:rsidRPr="00B96ADF" w:rsidRDefault="0023767F" w:rsidP="00B96ADF">
      <w:pPr>
        <w:spacing w:line="360" w:lineRule="auto"/>
        <w:jc w:val="both"/>
        <w:rPr>
          <w:rFonts w:ascii="Cambria" w:hAnsi="Cambria" w:cstheme="minorHAnsi"/>
          <w:sz w:val="24"/>
          <w:szCs w:val="24"/>
          <w:lang/>
        </w:rPr>
      </w:pPr>
    </w:p>
    <w:p w14:paraId="1113C048" w14:textId="77777777" w:rsidR="0023767F" w:rsidRPr="00B96ADF" w:rsidRDefault="0023767F" w:rsidP="00B96ADF">
      <w:pPr>
        <w:spacing w:line="360" w:lineRule="auto"/>
        <w:jc w:val="both"/>
        <w:rPr>
          <w:rFonts w:ascii="Cambria" w:hAnsi="Cambria" w:cstheme="minorHAnsi"/>
          <w:sz w:val="24"/>
          <w:szCs w:val="24"/>
          <w:lang/>
        </w:rPr>
      </w:pPr>
    </w:p>
    <w:p w14:paraId="14A9E1A1" w14:textId="0269DFA3" w:rsidR="004E3895" w:rsidRPr="00B96ADF" w:rsidRDefault="004E3895" w:rsidP="00B96ADF">
      <w:pPr>
        <w:spacing w:line="360" w:lineRule="auto"/>
        <w:jc w:val="both"/>
        <w:rPr>
          <w:rFonts w:ascii="Cambria" w:hAnsi="Cambria" w:cstheme="minorHAnsi"/>
          <w:sz w:val="24"/>
          <w:szCs w:val="24"/>
          <w:lang/>
        </w:rPr>
      </w:pPr>
    </w:p>
    <w:p w14:paraId="75005709" w14:textId="57D4AAD0" w:rsidR="004E3895" w:rsidRPr="00B96ADF" w:rsidRDefault="004E3895" w:rsidP="00B96ADF">
      <w:pPr>
        <w:pStyle w:val="Titre2"/>
        <w:spacing w:line="360" w:lineRule="auto"/>
        <w:rPr>
          <w:rFonts w:ascii="Cambria" w:hAnsi="Cambria" w:cstheme="minorHAnsi"/>
          <w:b/>
          <w:bCs/>
          <w:color w:val="auto"/>
          <w:sz w:val="24"/>
          <w:szCs w:val="24"/>
          <w:lang/>
        </w:rPr>
      </w:pPr>
      <w:bookmarkStart w:id="28" w:name="_Toc234795853"/>
      <w:r w:rsidRPr="00B96ADF">
        <w:rPr>
          <w:rFonts w:ascii="Cambria" w:hAnsi="Cambria" w:cstheme="minorHAnsi"/>
          <w:b/>
          <w:bCs/>
          <w:color w:val="auto"/>
          <w:sz w:val="24"/>
          <w:szCs w:val="24"/>
          <w:lang/>
        </w:rPr>
        <w:lastRenderedPageBreak/>
        <w:t>Annexes</w:t>
      </w:r>
      <w:bookmarkEnd w:id="28"/>
    </w:p>
    <w:p w14:paraId="2917E5A3" w14:textId="77777777" w:rsidR="004E3895" w:rsidRPr="00B96ADF" w:rsidRDefault="004E3895" w:rsidP="00B96ADF">
      <w:pPr>
        <w:spacing w:line="360" w:lineRule="auto"/>
        <w:jc w:val="both"/>
        <w:rPr>
          <w:rFonts w:ascii="Cambria" w:hAnsi="Cambria" w:cstheme="minorHAnsi"/>
          <w:sz w:val="24"/>
          <w:szCs w:val="24"/>
          <w:lang/>
        </w:rPr>
      </w:pPr>
      <w:r w:rsidRPr="00B96ADF">
        <w:rPr>
          <w:rFonts w:ascii="Cambria" w:hAnsi="Cambria" w:cstheme="minorHAnsi"/>
          <w:sz w:val="24"/>
          <w:szCs w:val="24"/>
          <w:lang/>
        </w:rPr>
        <w:t>Les annexes suivantes font partie intégrante de la présente stratégie et fournissent les outils opérationnels nécessaires à sa mise en œuvre :</w:t>
      </w:r>
    </w:p>
    <w:p w14:paraId="14D17150" w14:textId="77777777" w:rsidR="004E3895" w:rsidRPr="00B96ADF" w:rsidRDefault="004E3895" w:rsidP="00B96ADF">
      <w:pPr>
        <w:numPr>
          <w:ilvl w:val="0"/>
          <w:numId w:val="47"/>
        </w:numPr>
        <w:spacing w:line="360" w:lineRule="auto"/>
        <w:jc w:val="both"/>
        <w:rPr>
          <w:rFonts w:ascii="Cambria" w:hAnsi="Cambria" w:cstheme="minorHAnsi"/>
          <w:sz w:val="24"/>
          <w:szCs w:val="24"/>
          <w:lang/>
        </w:rPr>
      </w:pPr>
      <w:r w:rsidRPr="00B96ADF">
        <w:rPr>
          <w:rFonts w:ascii="Cambria" w:hAnsi="Cambria" w:cstheme="minorHAnsi"/>
          <w:b/>
          <w:bCs/>
          <w:sz w:val="24"/>
          <w:szCs w:val="24"/>
          <w:lang/>
        </w:rPr>
        <w:t xml:space="preserve">Annexe 1 : </w:t>
      </w:r>
      <w:r w:rsidRPr="00B96ADF">
        <w:rPr>
          <w:rFonts w:ascii="Cambria" w:hAnsi="Cambria" w:cstheme="minorHAnsi"/>
          <w:sz w:val="24"/>
          <w:szCs w:val="24"/>
          <w:lang/>
        </w:rPr>
        <w:t>Matrice d'engagement des parties prenantes</w:t>
      </w:r>
    </w:p>
    <w:p w14:paraId="41F4CE66" w14:textId="77777777" w:rsidR="004E3895" w:rsidRPr="00B96ADF" w:rsidRDefault="004E3895" w:rsidP="00B96ADF">
      <w:pPr>
        <w:numPr>
          <w:ilvl w:val="0"/>
          <w:numId w:val="47"/>
        </w:numPr>
        <w:spacing w:line="360" w:lineRule="auto"/>
        <w:jc w:val="both"/>
        <w:rPr>
          <w:rFonts w:ascii="Cambria" w:hAnsi="Cambria" w:cstheme="minorHAnsi"/>
          <w:sz w:val="24"/>
          <w:szCs w:val="24"/>
          <w:lang/>
        </w:rPr>
      </w:pPr>
      <w:r w:rsidRPr="00B96ADF">
        <w:rPr>
          <w:rFonts w:ascii="Cambria" w:hAnsi="Cambria" w:cstheme="minorHAnsi"/>
          <w:b/>
          <w:bCs/>
          <w:sz w:val="24"/>
          <w:szCs w:val="24"/>
          <w:lang/>
        </w:rPr>
        <w:t xml:space="preserve">Annexe 2 : </w:t>
      </w:r>
      <w:r w:rsidRPr="00B96ADF">
        <w:rPr>
          <w:rFonts w:ascii="Cambria" w:hAnsi="Cambria" w:cstheme="minorHAnsi"/>
          <w:sz w:val="24"/>
          <w:szCs w:val="24"/>
          <w:lang/>
        </w:rPr>
        <w:t>Plan de mise en œuvre quinquennal (2026-2030)</w:t>
      </w:r>
    </w:p>
    <w:p w14:paraId="679EEBB4" w14:textId="77777777" w:rsidR="004E3895" w:rsidRPr="00B96ADF" w:rsidRDefault="004E3895" w:rsidP="00B96ADF">
      <w:pPr>
        <w:numPr>
          <w:ilvl w:val="0"/>
          <w:numId w:val="47"/>
        </w:numPr>
        <w:spacing w:line="360" w:lineRule="auto"/>
        <w:jc w:val="both"/>
        <w:rPr>
          <w:rFonts w:ascii="Cambria" w:hAnsi="Cambria" w:cstheme="minorHAnsi"/>
          <w:sz w:val="24"/>
          <w:szCs w:val="24"/>
          <w:lang/>
        </w:rPr>
      </w:pPr>
      <w:r w:rsidRPr="00B96ADF">
        <w:rPr>
          <w:rFonts w:ascii="Cambria" w:hAnsi="Cambria" w:cstheme="minorHAnsi"/>
          <w:b/>
          <w:bCs/>
          <w:sz w:val="24"/>
          <w:szCs w:val="24"/>
          <w:lang/>
        </w:rPr>
        <w:t xml:space="preserve">Annexe 3 : </w:t>
      </w:r>
      <w:r w:rsidRPr="00B96ADF">
        <w:rPr>
          <w:rFonts w:ascii="Cambria" w:hAnsi="Cambria" w:cstheme="minorHAnsi"/>
          <w:sz w:val="24"/>
          <w:szCs w:val="24"/>
          <w:lang/>
        </w:rPr>
        <w:t>Calendrier des activités de plaidoyer et d’engagement politique</w:t>
      </w:r>
    </w:p>
    <w:p w14:paraId="56CC5F16" w14:textId="77777777" w:rsidR="00BF36FD" w:rsidRPr="00B96ADF" w:rsidRDefault="00BF36FD" w:rsidP="00B96ADF">
      <w:pPr>
        <w:spacing w:line="360" w:lineRule="auto"/>
        <w:jc w:val="both"/>
        <w:rPr>
          <w:rFonts w:ascii="Cambria" w:hAnsi="Cambria" w:cstheme="minorHAnsi"/>
          <w:sz w:val="24"/>
          <w:szCs w:val="24"/>
        </w:rPr>
      </w:pPr>
    </w:p>
    <w:sectPr w:rsidR="00BF36FD" w:rsidRPr="00B96ADF" w:rsidSect="0078315C">
      <w:pgSz w:w="11906" w:h="16838" w:code="9"/>
      <w:pgMar w:top="1440" w:right="1440" w:bottom="1440" w:left="144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2CC"/>
    <w:multiLevelType w:val="multilevel"/>
    <w:tmpl w:val="3594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03121"/>
    <w:multiLevelType w:val="multilevel"/>
    <w:tmpl w:val="1A66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B629A"/>
    <w:multiLevelType w:val="multilevel"/>
    <w:tmpl w:val="0CAC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3264B"/>
    <w:multiLevelType w:val="multilevel"/>
    <w:tmpl w:val="9F7E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42239"/>
    <w:multiLevelType w:val="multilevel"/>
    <w:tmpl w:val="267E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037454"/>
    <w:multiLevelType w:val="multilevel"/>
    <w:tmpl w:val="22AC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8386A"/>
    <w:multiLevelType w:val="multilevel"/>
    <w:tmpl w:val="FC90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E4585"/>
    <w:multiLevelType w:val="multilevel"/>
    <w:tmpl w:val="72F8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B0926"/>
    <w:multiLevelType w:val="multilevel"/>
    <w:tmpl w:val="458E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A68F8"/>
    <w:multiLevelType w:val="multilevel"/>
    <w:tmpl w:val="78E2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D5BA8"/>
    <w:multiLevelType w:val="multilevel"/>
    <w:tmpl w:val="15E0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01701"/>
    <w:multiLevelType w:val="multilevel"/>
    <w:tmpl w:val="797C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35B6B"/>
    <w:multiLevelType w:val="multilevel"/>
    <w:tmpl w:val="DF54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22B63"/>
    <w:multiLevelType w:val="multilevel"/>
    <w:tmpl w:val="6E88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5466B4"/>
    <w:multiLevelType w:val="multilevel"/>
    <w:tmpl w:val="BD22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152CC"/>
    <w:multiLevelType w:val="multilevel"/>
    <w:tmpl w:val="2492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F40B9"/>
    <w:multiLevelType w:val="multilevel"/>
    <w:tmpl w:val="58DC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1A2755"/>
    <w:multiLevelType w:val="multilevel"/>
    <w:tmpl w:val="5ABC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245442"/>
    <w:multiLevelType w:val="multilevel"/>
    <w:tmpl w:val="630E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F75678"/>
    <w:multiLevelType w:val="multilevel"/>
    <w:tmpl w:val="1E7C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C0184A"/>
    <w:multiLevelType w:val="multilevel"/>
    <w:tmpl w:val="0562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D8078E"/>
    <w:multiLevelType w:val="multilevel"/>
    <w:tmpl w:val="F49C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CB1AE0"/>
    <w:multiLevelType w:val="multilevel"/>
    <w:tmpl w:val="6208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554FF"/>
    <w:multiLevelType w:val="multilevel"/>
    <w:tmpl w:val="FE06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761282"/>
    <w:multiLevelType w:val="multilevel"/>
    <w:tmpl w:val="83D4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3A17DD"/>
    <w:multiLevelType w:val="multilevel"/>
    <w:tmpl w:val="4C40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B547E9"/>
    <w:multiLevelType w:val="multilevel"/>
    <w:tmpl w:val="0AC0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E3232B"/>
    <w:multiLevelType w:val="multilevel"/>
    <w:tmpl w:val="C42A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616004"/>
    <w:multiLevelType w:val="multilevel"/>
    <w:tmpl w:val="A578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807CC5"/>
    <w:multiLevelType w:val="multilevel"/>
    <w:tmpl w:val="A784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FD0BD7"/>
    <w:multiLevelType w:val="multilevel"/>
    <w:tmpl w:val="B14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630A1"/>
    <w:multiLevelType w:val="multilevel"/>
    <w:tmpl w:val="86F6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681C57"/>
    <w:multiLevelType w:val="multilevel"/>
    <w:tmpl w:val="F226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F673D4"/>
    <w:multiLevelType w:val="multilevel"/>
    <w:tmpl w:val="D54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2B2929"/>
    <w:multiLevelType w:val="multilevel"/>
    <w:tmpl w:val="7CEC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53748"/>
    <w:multiLevelType w:val="multilevel"/>
    <w:tmpl w:val="0DFC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A16ED1"/>
    <w:multiLevelType w:val="multilevel"/>
    <w:tmpl w:val="2E16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841D7"/>
    <w:multiLevelType w:val="multilevel"/>
    <w:tmpl w:val="1296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8E593F"/>
    <w:multiLevelType w:val="multilevel"/>
    <w:tmpl w:val="0C32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AD5F9C"/>
    <w:multiLevelType w:val="multilevel"/>
    <w:tmpl w:val="7894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E36594"/>
    <w:multiLevelType w:val="multilevel"/>
    <w:tmpl w:val="48E8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FC0F17"/>
    <w:multiLevelType w:val="multilevel"/>
    <w:tmpl w:val="446A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5D5080"/>
    <w:multiLevelType w:val="multilevel"/>
    <w:tmpl w:val="2A22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AF0ED3"/>
    <w:multiLevelType w:val="multilevel"/>
    <w:tmpl w:val="DD28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6263F8"/>
    <w:multiLevelType w:val="multilevel"/>
    <w:tmpl w:val="ED0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BC4D68"/>
    <w:multiLevelType w:val="multilevel"/>
    <w:tmpl w:val="C0C2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C41CD0"/>
    <w:multiLevelType w:val="multilevel"/>
    <w:tmpl w:val="0D1A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E24A3E"/>
    <w:multiLevelType w:val="multilevel"/>
    <w:tmpl w:val="A53221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9"/>
  </w:num>
  <w:num w:numId="3">
    <w:abstractNumId w:val="12"/>
  </w:num>
  <w:num w:numId="4">
    <w:abstractNumId w:val="2"/>
  </w:num>
  <w:num w:numId="5">
    <w:abstractNumId w:val="36"/>
  </w:num>
  <w:num w:numId="6">
    <w:abstractNumId w:val="7"/>
  </w:num>
  <w:num w:numId="7">
    <w:abstractNumId w:val="39"/>
  </w:num>
  <w:num w:numId="8">
    <w:abstractNumId w:val="16"/>
  </w:num>
  <w:num w:numId="9">
    <w:abstractNumId w:val="23"/>
  </w:num>
  <w:num w:numId="10">
    <w:abstractNumId w:val="17"/>
  </w:num>
  <w:num w:numId="11">
    <w:abstractNumId w:val="44"/>
  </w:num>
  <w:num w:numId="12">
    <w:abstractNumId w:val="3"/>
  </w:num>
  <w:num w:numId="13">
    <w:abstractNumId w:val="40"/>
  </w:num>
  <w:num w:numId="14">
    <w:abstractNumId w:val="10"/>
  </w:num>
  <w:num w:numId="15">
    <w:abstractNumId w:val="41"/>
  </w:num>
  <w:num w:numId="16">
    <w:abstractNumId w:val="29"/>
  </w:num>
  <w:num w:numId="17">
    <w:abstractNumId w:val="38"/>
  </w:num>
  <w:num w:numId="18">
    <w:abstractNumId w:val="27"/>
  </w:num>
  <w:num w:numId="19">
    <w:abstractNumId w:val="42"/>
  </w:num>
  <w:num w:numId="20">
    <w:abstractNumId w:val="5"/>
  </w:num>
  <w:num w:numId="21">
    <w:abstractNumId w:val="31"/>
  </w:num>
  <w:num w:numId="22">
    <w:abstractNumId w:val="46"/>
  </w:num>
  <w:num w:numId="23">
    <w:abstractNumId w:val="37"/>
  </w:num>
  <w:num w:numId="24">
    <w:abstractNumId w:val="32"/>
  </w:num>
  <w:num w:numId="25">
    <w:abstractNumId w:val="22"/>
  </w:num>
  <w:num w:numId="26">
    <w:abstractNumId w:val="20"/>
  </w:num>
  <w:num w:numId="27">
    <w:abstractNumId w:val="8"/>
  </w:num>
  <w:num w:numId="28">
    <w:abstractNumId w:val="4"/>
  </w:num>
  <w:num w:numId="29">
    <w:abstractNumId w:val="35"/>
  </w:num>
  <w:num w:numId="30">
    <w:abstractNumId w:val="21"/>
  </w:num>
  <w:num w:numId="31">
    <w:abstractNumId w:val="13"/>
  </w:num>
  <w:num w:numId="32">
    <w:abstractNumId w:val="34"/>
  </w:num>
  <w:num w:numId="33">
    <w:abstractNumId w:val="19"/>
  </w:num>
  <w:num w:numId="34">
    <w:abstractNumId w:val="26"/>
  </w:num>
  <w:num w:numId="35">
    <w:abstractNumId w:val="1"/>
  </w:num>
  <w:num w:numId="36">
    <w:abstractNumId w:val="28"/>
  </w:num>
  <w:num w:numId="37">
    <w:abstractNumId w:val="24"/>
  </w:num>
  <w:num w:numId="38">
    <w:abstractNumId w:val="6"/>
  </w:num>
  <w:num w:numId="39">
    <w:abstractNumId w:val="43"/>
  </w:num>
  <w:num w:numId="40">
    <w:abstractNumId w:val="25"/>
  </w:num>
  <w:num w:numId="41">
    <w:abstractNumId w:val="15"/>
  </w:num>
  <w:num w:numId="42">
    <w:abstractNumId w:val="11"/>
  </w:num>
  <w:num w:numId="43">
    <w:abstractNumId w:val="45"/>
  </w:num>
  <w:num w:numId="44">
    <w:abstractNumId w:val="30"/>
  </w:num>
  <w:num w:numId="45">
    <w:abstractNumId w:val="14"/>
  </w:num>
  <w:num w:numId="46">
    <w:abstractNumId w:val="0"/>
  </w:num>
  <w:num w:numId="47">
    <w:abstractNumId w:val="33"/>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6FD"/>
    <w:rsid w:val="0012017E"/>
    <w:rsid w:val="00145ABD"/>
    <w:rsid w:val="00161640"/>
    <w:rsid w:val="00206BE3"/>
    <w:rsid w:val="0023767F"/>
    <w:rsid w:val="003131FA"/>
    <w:rsid w:val="00371540"/>
    <w:rsid w:val="003D094C"/>
    <w:rsid w:val="00473EE7"/>
    <w:rsid w:val="00487510"/>
    <w:rsid w:val="004E3895"/>
    <w:rsid w:val="005B29FB"/>
    <w:rsid w:val="00635558"/>
    <w:rsid w:val="00652874"/>
    <w:rsid w:val="006950DB"/>
    <w:rsid w:val="0078315C"/>
    <w:rsid w:val="007851CD"/>
    <w:rsid w:val="008B6F6A"/>
    <w:rsid w:val="00A333D9"/>
    <w:rsid w:val="00B168D3"/>
    <w:rsid w:val="00B96ADF"/>
    <w:rsid w:val="00BA10D5"/>
    <w:rsid w:val="00BE40C2"/>
    <w:rsid w:val="00BF36FD"/>
    <w:rsid w:val="00D53680"/>
    <w:rsid w:val="00E43736"/>
    <w:rsid w:val="00E67D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AB8A"/>
  <w15:chartTrackingRefBased/>
  <w15:docId w15:val="{B0D17CBB-0AE9-45EA-9A73-B03A1F49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F36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BF36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F36F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F36F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F36F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F36F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36F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36F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36F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36F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BF36F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F36F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F36F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F36F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F36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36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36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36FD"/>
    <w:rPr>
      <w:rFonts w:eastAsiaTheme="majorEastAsia" w:cstheme="majorBidi"/>
      <w:color w:val="272727" w:themeColor="text1" w:themeTint="D8"/>
    </w:rPr>
  </w:style>
  <w:style w:type="paragraph" w:styleId="Titre">
    <w:name w:val="Title"/>
    <w:basedOn w:val="Normal"/>
    <w:next w:val="Normal"/>
    <w:link w:val="TitreCar"/>
    <w:uiPriority w:val="10"/>
    <w:qFormat/>
    <w:rsid w:val="00BF3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36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36F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36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36FD"/>
    <w:pPr>
      <w:spacing w:before="160"/>
      <w:jc w:val="center"/>
    </w:pPr>
    <w:rPr>
      <w:i/>
      <w:iCs/>
      <w:color w:val="404040" w:themeColor="text1" w:themeTint="BF"/>
    </w:rPr>
  </w:style>
  <w:style w:type="character" w:customStyle="1" w:styleId="CitationCar">
    <w:name w:val="Citation Car"/>
    <w:basedOn w:val="Policepardfaut"/>
    <w:link w:val="Citation"/>
    <w:uiPriority w:val="29"/>
    <w:rsid w:val="00BF36FD"/>
    <w:rPr>
      <w:i/>
      <w:iCs/>
      <w:color w:val="404040" w:themeColor="text1" w:themeTint="BF"/>
    </w:rPr>
  </w:style>
  <w:style w:type="paragraph" w:styleId="Paragraphedeliste">
    <w:name w:val="List Paragraph"/>
    <w:basedOn w:val="Normal"/>
    <w:uiPriority w:val="34"/>
    <w:qFormat/>
    <w:rsid w:val="00BF36FD"/>
    <w:pPr>
      <w:ind w:left="720"/>
      <w:contextualSpacing/>
    </w:pPr>
  </w:style>
  <w:style w:type="character" w:styleId="Emphaseintense">
    <w:name w:val="Intense Emphasis"/>
    <w:basedOn w:val="Policepardfaut"/>
    <w:uiPriority w:val="21"/>
    <w:qFormat/>
    <w:rsid w:val="00BF36FD"/>
    <w:rPr>
      <w:i/>
      <w:iCs/>
      <w:color w:val="2F5496" w:themeColor="accent1" w:themeShade="BF"/>
    </w:rPr>
  </w:style>
  <w:style w:type="paragraph" w:styleId="Citationintense">
    <w:name w:val="Intense Quote"/>
    <w:basedOn w:val="Normal"/>
    <w:next w:val="Normal"/>
    <w:link w:val="CitationintenseCar"/>
    <w:uiPriority w:val="30"/>
    <w:qFormat/>
    <w:rsid w:val="00BF36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F36FD"/>
    <w:rPr>
      <w:i/>
      <w:iCs/>
      <w:color w:val="2F5496" w:themeColor="accent1" w:themeShade="BF"/>
    </w:rPr>
  </w:style>
  <w:style w:type="character" w:styleId="Rfrenceintense">
    <w:name w:val="Intense Reference"/>
    <w:basedOn w:val="Policepardfaut"/>
    <w:uiPriority w:val="32"/>
    <w:qFormat/>
    <w:rsid w:val="00BF36FD"/>
    <w:rPr>
      <w:b/>
      <w:bCs/>
      <w:smallCaps/>
      <w:color w:val="2F5496" w:themeColor="accent1" w:themeShade="BF"/>
      <w:spacing w:val="5"/>
    </w:rPr>
  </w:style>
  <w:style w:type="paragraph" w:styleId="En-ttedetabledesmatires">
    <w:name w:val="TOC Heading"/>
    <w:basedOn w:val="Titre1"/>
    <w:next w:val="Normal"/>
    <w:uiPriority w:val="39"/>
    <w:unhideWhenUsed/>
    <w:qFormat/>
    <w:rsid w:val="00BA10D5"/>
    <w:pPr>
      <w:spacing w:before="240" w:after="0"/>
      <w:outlineLvl w:val="9"/>
    </w:pPr>
    <w:rPr>
      <w:kern w:val="0"/>
      <w:sz w:val="32"/>
      <w:szCs w:val="32"/>
      <w14:ligatures w14:val="none"/>
    </w:rPr>
  </w:style>
  <w:style w:type="paragraph" w:styleId="TM1">
    <w:name w:val="toc 1"/>
    <w:basedOn w:val="Normal"/>
    <w:next w:val="Normal"/>
    <w:autoRedefine/>
    <w:uiPriority w:val="39"/>
    <w:unhideWhenUsed/>
    <w:rsid w:val="00BA10D5"/>
    <w:pPr>
      <w:spacing w:after="100"/>
    </w:pPr>
  </w:style>
  <w:style w:type="character" w:styleId="Lienhypertexte">
    <w:name w:val="Hyperlink"/>
    <w:basedOn w:val="Policepardfaut"/>
    <w:uiPriority w:val="99"/>
    <w:unhideWhenUsed/>
    <w:rsid w:val="00BA10D5"/>
    <w:rPr>
      <w:color w:val="0563C1" w:themeColor="hyperlink"/>
      <w:u w:val="single"/>
    </w:rPr>
  </w:style>
  <w:style w:type="paragraph" w:styleId="TM2">
    <w:name w:val="toc 2"/>
    <w:basedOn w:val="Normal"/>
    <w:next w:val="Normal"/>
    <w:autoRedefine/>
    <w:uiPriority w:val="39"/>
    <w:unhideWhenUsed/>
    <w:rsid w:val="00BA10D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50</Pages>
  <Words>15863</Words>
  <Characters>87248</Characters>
  <Application>Microsoft Office Word</Application>
  <DocSecurity>0</DocSecurity>
  <Lines>727</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Ngei</dc:creator>
  <cp:keywords/>
  <dc:description/>
  <cp:lastModifiedBy>Frank KAKIRANIA</cp:lastModifiedBy>
  <cp:revision>9</cp:revision>
  <dcterms:created xsi:type="dcterms:W3CDTF">2026-07-12T19:54:00Z</dcterms:created>
  <dcterms:modified xsi:type="dcterms:W3CDTF">2026-07-20T06:15:00Z</dcterms:modified>
</cp:coreProperties>
</file>