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90A27" w14:textId="77777777" w:rsidR="00632E37" w:rsidRPr="00F84794" w:rsidRDefault="00632E37" w:rsidP="00632E37">
      <w:pPr>
        <w:spacing w:after="0" w:line="259" w:lineRule="auto"/>
        <w:jc w:val="center"/>
        <w:rPr>
          <w:rFonts w:ascii="Times New Roman" w:hAnsi="Times New Roman" w:cs="Times New Roman"/>
          <w:color w:val="000000" w:themeColor="text1"/>
        </w:rPr>
      </w:pPr>
      <w:r w:rsidRPr="00F84794">
        <w:rPr>
          <w:rFonts w:ascii="Times New Roman" w:hAnsi="Times New Roman" w:cs="Times New Roman"/>
          <w:noProof/>
          <w:color w:val="000000" w:themeColor="text1"/>
          <w:lang w:val="fr-FR" w:eastAsia="fr-FR"/>
        </w:rPr>
        <w:drawing>
          <wp:inline distT="0" distB="0" distL="0" distR="0" wp14:anchorId="6E06B208" wp14:editId="11E8C582">
            <wp:extent cx="1103630" cy="104838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5"/>
                    <a:stretch>
                      <a:fillRect/>
                    </a:stretch>
                  </pic:blipFill>
                  <pic:spPr>
                    <a:xfrm>
                      <a:off x="0" y="0"/>
                      <a:ext cx="1103630" cy="1048385"/>
                    </a:xfrm>
                    <a:prstGeom prst="rect">
                      <a:avLst/>
                    </a:prstGeom>
                  </pic:spPr>
                </pic:pic>
              </a:graphicData>
            </a:graphic>
          </wp:inline>
        </w:drawing>
      </w:r>
    </w:p>
    <w:p w14:paraId="442727B0" w14:textId="77777777" w:rsidR="00632E37" w:rsidRPr="00F84794" w:rsidRDefault="00632E37" w:rsidP="00632E37">
      <w:pPr>
        <w:spacing w:after="0" w:line="259" w:lineRule="auto"/>
        <w:jc w:val="center"/>
        <w:rPr>
          <w:rFonts w:ascii="Times New Roman" w:hAnsi="Times New Roman" w:cs="Times New Roman"/>
          <w:color w:val="000000" w:themeColor="text1"/>
        </w:rPr>
      </w:pPr>
    </w:p>
    <w:p w14:paraId="2D2A5EE6" w14:textId="77777777" w:rsidR="00632E37" w:rsidRPr="00F84794" w:rsidRDefault="00632E37" w:rsidP="00632E37">
      <w:pPr>
        <w:spacing w:after="0" w:line="259" w:lineRule="auto"/>
        <w:jc w:val="center"/>
        <w:rPr>
          <w:rFonts w:ascii="Times New Roman" w:hAnsi="Times New Roman" w:cs="Times New Roman"/>
          <w:color w:val="000000" w:themeColor="text1"/>
        </w:rPr>
      </w:pPr>
    </w:p>
    <w:p w14:paraId="4D876915" w14:textId="77777777" w:rsidR="00632E37" w:rsidRPr="00F84794" w:rsidRDefault="00632E37" w:rsidP="00632E37">
      <w:pPr>
        <w:spacing w:after="0"/>
        <w:jc w:val="center"/>
        <w:rPr>
          <w:rFonts w:ascii="Times New Roman" w:hAnsi="Times New Roman" w:cs="Times New Roman"/>
          <w:b/>
          <w:bCs/>
          <w:color w:val="000000" w:themeColor="text1"/>
          <w:sz w:val="28"/>
          <w:szCs w:val="28"/>
        </w:rPr>
      </w:pPr>
      <w:r w:rsidRPr="00F84794">
        <w:rPr>
          <w:rFonts w:ascii="Times New Roman" w:hAnsi="Times New Roman" w:cs="Times New Roman"/>
          <w:b/>
          <w:bCs/>
          <w:color w:val="000000" w:themeColor="text1"/>
          <w:sz w:val="28"/>
          <w:szCs w:val="28"/>
        </w:rPr>
        <w:t>ALLIANCE POUR LES PEUPLES AUTOCHTONES ET LES COMMUNAUTÉS LOCALES POUR LA CONSERVATION EN AFRIQUE</w:t>
      </w:r>
    </w:p>
    <w:p w14:paraId="5ED72810" w14:textId="77777777" w:rsidR="00632E37" w:rsidRPr="00F84794" w:rsidRDefault="00632E37" w:rsidP="00632E37">
      <w:pPr>
        <w:spacing w:after="0"/>
        <w:jc w:val="center"/>
        <w:rPr>
          <w:rFonts w:ascii="Times New Roman" w:hAnsi="Times New Roman" w:cs="Times New Roman"/>
          <w:b/>
          <w:bCs/>
          <w:color w:val="000000" w:themeColor="text1"/>
          <w:sz w:val="28"/>
          <w:szCs w:val="28"/>
        </w:rPr>
      </w:pPr>
      <w:r w:rsidRPr="00F84794">
        <w:rPr>
          <w:rFonts w:ascii="Times New Roman" w:hAnsi="Times New Roman" w:cs="Times New Roman"/>
          <w:b/>
          <w:bCs/>
          <w:color w:val="000000" w:themeColor="text1"/>
          <w:sz w:val="28"/>
          <w:szCs w:val="28"/>
        </w:rPr>
        <w:t>(AICA)</w:t>
      </w:r>
    </w:p>
    <w:p w14:paraId="7F28DB0E" w14:textId="77777777" w:rsidR="00632E37" w:rsidRPr="00F84794" w:rsidRDefault="00632E37" w:rsidP="00632E37">
      <w:pPr>
        <w:spacing w:after="0"/>
        <w:jc w:val="center"/>
        <w:rPr>
          <w:rFonts w:ascii="Times New Roman" w:hAnsi="Times New Roman" w:cs="Times New Roman"/>
          <w:b/>
          <w:bCs/>
          <w:color w:val="000000" w:themeColor="text1"/>
          <w:sz w:val="28"/>
          <w:szCs w:val="28"/>
        </w:rPr>
      </w:pPr>
    </w:p>
    <w:p w14:paraId="5D68A1D8" w14:textId="77777777" w:rsidR="00632E37" w:rsidRPr="00162CC6" w:rsidRDefault="00632E37" w:rsidP="00632E37">
      <w:pPr>
        <w:spacing w:after="0"/>
        <w:jc w:val="center"/>
        <w:rPr>
          <w:rFonts w:ascii="Times New Roman" w:hAnsi="Times New Roman" w:cs="Times New Roman"/>
          <w:b/>
          <w:bCs/>
          <w:color w:val="000000" w:themeColor="text1"/>
          <w:sz w:val="28"/>
          <w:szCs w:val="28"/>
        </w:rPr>
      </w:pPr>
      <w:r w:rsidRPr="00162CC6">
        <w:rPr>
          <w:rFonts w:ascii="Times New Roman" w:hAnsi="Times New Roman" w:cs="Times New Roman"/>
          <w:b/>
          <w:bCs/>
          <w:color w:val="000000" w:themeColor="text1"/>
          <w:sz w:val="28"/>
          <w:szCs w:val="28"/>
        </w:rPr>
        <w:t>TERMES DE RÉFÉRENCE : CONSULTATION</w:t>
      </w:r>
    </w:p>
    <w:p w14:paraId="370918ED" w14:textId="77777777" w:rsidR="00632E37" w:rsidRPr="00632E37" w:rsidRDefault="00632E37" w:rsidP="00632E37">
      <w:pPr>
        <w:jc w:val="center"/>
        <w:rPr>
          <w:rFonts w:ascii="Times New Roman" w:hAnsi="Times New Roman" w:cs="Times New Roman"/>
          <w:b/>
          <w:bCs/>
          <w:color w:val="000000" w:themeColor="text1"/>
          <w:sz w:val="28"/>
          <w:szCs w:val="28"/>
        </w:rPr>
      </w:pPr>
      <w:r w:rsidRPr="00632E37">
        <w:rPr>
          <w:rFonts w:ascii="Times New Roman" w:hAnsi="Times New Roman" w:cs="Times New Roman"/>
          <w:b/>
          <w:bCs/>
          <w:color w:val="000000" w:themeColor="text1"/>
          <w:sz w:val="28"/>
          <w:szCs w:val="28"/>
        </w:rPr>
        <w:t>Renforcement des capacités des fonctionnaires gouvernementaux et des dirigeants des communautés indépendantes locales en matière de conservation fondée sur les droits de l'homme et élaboration de trousses de formation multilingues</w:t>
      </w:r>
    </w:p>
    <w:p w14:paraId="66D09E3F" w14:textId="77777777" w:rsidR="00632E37" w:rsidRPr="00F84794" w:rsidRDefault="00632E37" w:rsidP="00632E37">
      <w:pPr>
        <w:spacing w:after="0"/>
        <w:rPr>
          <w:rFonts w:ascii="Times New Roman" w:hAnsi="Times New Roman" w:cs="Times New Roman"/>
          <w:b/>
          <w:bCs/>
          <w:color w:val="000000" w:themeColor="text1"/>
          <w:sz w:val="28"/>
          <w:szCs w:val="28"/>
        </w:rPr>
      </w:pPr>
    </w:p>
    <w:p w14:paraId="6C53CD7F" w14:textId="77777777" w:rsidR="00632E37" w:rsidRPr="00F84794" w:rsidRDefault="00632E37" w:rsidP="00632E37">
      <w:pPr>
        <w:tabs>
          <w:tab w:val="center" w:pos="4760"/>
          <w:tab w:val="center" w:pos="7201"/>
          <w:tab w:val="center" w:pos="7922"/>
        </w:tabs>
        <w:spacing w:after="0" w:line="259" w:lineRule="auto"/>
        <w:rPr>
          <w:rFonts w:ascii="Times New Roman" w:hAnsi="Times New Roman" w:cs="Times New Roman"/>
          <w:b/>
          <w:color w:val="000000" w:themeColor="text1"/>
        </w:rPr>
      </w:pPr>
      <w:r w:rsidRPr="00F84794">
        <w:rPr>
          <w:rFonts w:ascii="Times New Roman" w:eastAsia="Calibri" w:hAnsi="Times New Roman" w:cs="Times New Roman"/>
          <w:noProof/>
          <w:color w:val="000000" w:themeColor="text1"/>
          <w:lang w:val="fr-FR" w:eastAsia="fr-FR"/>
        </w:rPr>
        <mc:AlternateContent>
          <mc:Choice Requires="wpg">
            <w:drawing>
              <wp:inline distT="0" distB="0" distL="0" distR="0" wp14:anchorId="29EDD595" wp14:editId="2427884D">
                <wp:extent cx="5969000" cy="12700"/>
                <wp:effectExtent l="0" t="0" r="0" b="0"/>
                <wp:docPr id="7853" name="Group 7853"/>
                <wp:cNvGraphicFramePr/>
                <a:graphic xmlns:a="http://schemas.openxmlformats.org/drawingml/2006/main">
                  <a:graphicData uri="http://schemas.microsoft.com/office/word/2010/wordprocessingGroup">
                    <wpg:wgp>
                      <wpg:cNvGrpSpPr/>
                      <wpg:grpSpPr>
                        <a:xfrm>
                          <a:off x="0" y="0"/>
                          <a:ext cx="5969000" cy="12700"/>
                          <a:chOff x="0" y="0"/>
                          <a:chExt cx="5969000" cy="12700"/>
                        </a:xfrm>
                      </wpg:grpSpPr>
                      <wps:wsp>
                        <wps:cNvPr id="77" name="Shape 77"/>
                        <wps:cNvSpPr/>
                        <wps:spPr>
                          <a:xfrm>
                            <a:off x="0" y="0"/>
                            <a:ext cx="5969000" cy="12700"/>
                          </a:xfrm>
                          <a:custGeom>
                            <a:avLst/>
                            <a:gdLst/>
                            <a:ahLst/>
                            <a:cxnLst/>
                            <a:rect l="0" t="0" r="0" b="0"/>
                            <a:pathLst>
                              <a:path w="5969000" h="12700">
                                <a:moveTo>
                                  <a:pt x="0" y="0"/>
                                </a:moveTo>
                                <a:lnTo>
                                  <a:pt x="5969000" y="12700"/>
                                </a:lnTo>
                              </a:path>
                            </a:pathLst>
                          </a:custGeom>
                          <a:ln w="190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72E157" id="Group 7853" o:spid="_x0000_s1026" style="width:470pt;height:1pt;mso-position-horizontal-relative:char;mso-position-vertical-relative:line" coordsize="596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">
                <v:shape id="Shape 77" o:spid="_x0000_s1027" style="position:absolute;width:59690;height:127;visibility:visible;mso-wrap-style:square;v-text-anchor:top" coordsize="5969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" path="m,l5969000,12700e" filled="f" strokecolor="#70ad47" strokeweight="1.5pt">
                  <v:stroke miterlimit="83231f" joinstyle="miter"/>
                  <v:path arrowok="t" textboxrect="0,0,5969000,12700"/>
                </v:shape>
                <w10:anchorlock/>
              </v:group>
            </w:pict>
          </mc:Fallback>
        </mc:AlternateContent>
      </w:r>
    </w:p>
    <w:p w14:paraId="65FF6F94" w14:textId="77777777" w:rsidR="00632E37" w:rsidRPr="00F84794" w:rsidRDefault="00632E37" w:rsidP="00632E37">
      <w:pPr>
        <w:tabs>
          <w:tab w:val="center" w:pos="4760"/>
          <w:tab w:val="center" w:pos="7201"/>
          <w:tab w:val="center" w:pos="7922"/>
        </w:tabs>
        <w:spacing w:after="0" w:line="259" w:lineRule="auto"/>
        <w:jc w:val="center"/>
        <w:rPr>
          <w:rFonts w:ascii="Times New Roman" w:hAnsi="Times New Roman" w:cs="Times New Roman"/>
          <w:b/>
          <w:color w:val="000000" w:themeColor="text1"/>
        </w:rPr>
      </w:pPr>
      <w:r w:rsidRPr="00F84794">
        <w:rPr>
          <w:rFonts w:ascii="Times New Roman" w:hAnsi="Times New Roman" w:cs="Times New Roman"/>
          <w:b/>
          <w:color w:val="000000" w:themeColor="text1"/>
        </w:rPr>
        <w:t>Avec le soutien de</w:t>
      </w:r>
    </w:p>
    <w:p w14:paraId="13687715" w14:textId="77777777" w:rsidR="00632E37" w:rsidRPr="00F84794" w:rsidRDefault="00632E37" w:rsidP="00632E37">
      <w:pPr>
        <w:tabs>
          <w:tab w:val="center" w:pos="4760"/>
          <w:tab w:val="center" w:pos="7201"/>
          <w:tab w:val="center" w:pos="7922"/>
        </w:tabs>
        <w:spacing w:after="0" w:line="259" w:lineRule="auto"/>
        <w:rPr>
          <w:rFonts w:ascii="Times New Roman" w:hAnsi="Times New Roman" w:cs="Times New Roman"/>
          <w:color w:val="000000" w:themeColor="text1"/>
        </w:rPr>
      </w:pPr>
      <w:r w:rsidRPr="00F84794">
        <w:rPr>
          <w:rFonts w:ascii="Times New Roman" w:hAnsi="Times New Roman" w:cs="Times New Roman"/>
          <w:b/>
          <w:color w:val="000000" w:themeColor="text1"/>
        </w:rPr>
        <w:tab/>
        <w:t xml:space="preserve">  </w:t>
      </w:r>
    </w:p>
    <w:p w14:paraId="29AD0CD7" w14:textId="77777777" w:rsidR="00632E37" w:rsidRPr="00F84794" w:rsidRDefault="00632E37" w:rsidP="00632E37">
      <w:pPr>
        <w:spacing w:after="0" w:line="259" w:lineRule="auto"/>
        <w:jc w:val="center"/>
        <w:rPr>
          <w:rFonts w:ascii="Times New Roman" w:hAnsi="Times New Roman" w:cs="Times New Roman"/>
          <w:noProof/>
          <w:color w:val="000000" w:themeColor="text1"/>
        </w:rPr>
      </w:pPr>
      <w:r w:rsidRPr="00F84794">
        <w:rPr>
          <w:rFonts w:ascii="Times New Roman" w:hAnsi="Times New Roman" w:cs="Times New Roman"/>
          <w:noProof/>
          <w:color w:val="000000" w:themeColor="text1"/>
        </w:rPr>
        <w:t xml:space="preserve">  </w:t>
      </w:r>
      <w:r w:rsidRPr="00F84794">
        <w:rPr>
          <w:rFonts w:ascii="Times New Roman" w:hAnsi="Times New Roman" w:cs="Times New Roman"/>
          <w:noProof/>
          <w:color w:val="000000" w:themeColor="text1"/>
          <w:lang w:val="fr-FR" w:eastAsia="fr-FR"/>
        </w:rPr>
        <w:drawing>
          <wp:inline distT="0" distB="0" distL="0" distR="0" wp14:anchorId="1BA4BD47" wp14:editId="19FE1554">
            <wp:extent cx="859536" cy="859536"/>
            <wp:effectExtent l="0" t="0" r="0" b="0"/>
            <wp:docPr id="1265955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9536" cy="859536"/>
                    </a:xfrm>
                    <a:prstGeom prst="rect">
                      <a:avLst/>
                    </a:prstGeom>
                    <a:noFill/>
                    <a:ln>
                      <a:noFill/>
                    </a:ln>
                  </pic:spPr>
                </pic:pic>
              </a:graphicData>
            </a:graphic>
          </wp:inline>
        </w:drawing>
      </w:r>
      <w:r w:rsidRPr="00F84794">
        <w:rPr>
          <w:rFonts w:ascii="Times New Roman" w:hAnsi="Times New Roman" w:cs="Times New Roman"/>
          <w:noProof/>
          <w:color w:val="000000" w:themeColor="text1"/>
          <w:lang w:val="fr-FR" w:eastAsia="fr-FR"/>
        </w:rPr>
        <w:drawing>
          <wp:inline distT="0" distB="0" distL="0" distR="0" wp14:anchorId="4384E466" wp14:editId="5C3AEF53">
            <wp:extent cx="841248" cy="841248"/>
            <wp:effectExtent l="0" t="0" r="0" b="0"/>
            <wp:docPr id="1325418958" name="Picture 3" descr="Impact Kenya – Wash Alli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act Kenya – Wash Allia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1248" cy="841248"/>
                    </a:xfrm>
                    <a:prstGeom prst="rect">
                      <a:avLst/>
                    </a:prstGeom>
                    <a:noFill/>
                    <a:ln>
                      <a:noFill/>
                    </a:ln>
                  </pic:spPr>
                </pic:pic>
              </a:graphicData>
            </a:graphic>
          </wp:inline>
        </w:drawing>
      </w:r>
      <w:r w:rsidRPr="00F84794">
        <w:rPr>
          <w:rFonts w:ascii="Times New Roman" w:hAnsi="Times New Roman" w:cs="Times New Roman"/>
          <w:noProof/>
          <w:color w:val="000000" w:themeColor="text1"/>
          <w:lang w:val="fr-FR" w:eastAsia="fr-FR"/>
        </w:rPr>
        <w:drawing>
          <wp:inline distT="0" distB="0" distL="0" distR="0" wp14:anchorId="5BFC2DEC" wp14:editId="747AB0B7">
            <wp:extent cx="868680" cy="868680"/>
            <wp:effectExtent l="0" t="0" r="0" b="7620"/>
            <wp:docPr id="1789725155" name="Picture 4" descr="Rights and Resources Initiative - Alchetron, the free social encyc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ights and Resources Initiative - Alchetron, the free social encyclo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r w:rsidRPr="00F84794">
        <w:rPr>
          <w:rFonts w:ascii="Times New Roman" w:hAnsi="Times New Roman" w:cs="Times New Roman"/>
          <w:noProof/>
          <w:color w:val="000000" w:themeColor="text1"/>
          <w:lang w:val="fr-FR" w:eastAsia="fr-FR"/>
        </w:rPr>
        <w:drawing>
          <wp:inline distT="0" distB="0" distL="0" distR="0" wp14:anchorId="21DA5198" wp14:editId="4F790A76">
            <wp:extent cx="1307592" cy="685800"/>
            <wp:effectExtent l="0" t="0" r="6985" b="0"/>
            <wp:docPr id="212995070" name="Picture 5" descr="Nia Tero Foundation – Geneva Environment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ia Tero Foundation – Geneva Environment Networ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7592" cy="685800"/>
                    </a:xfrm>
                    <a:prstGeom prst="rect">
                      <a:avLst/>
                    </a:prstGeom>
                    <a:noFill/>
                    <a:ln>
                      <a:noFill/>
                    </a:ln>
                  </pic:spPr>
                </pic:pic>
              </a:graphicData>
            </a:graphic>
          </wp:inline>
        </w:drawing>
      </w:r>
    </w:p>
    <w:p w14:paraId="6ED24E06" w14:textId="77777777" w:rsidR="00632E37" w:rsidRPr="00F84794" w:rsidRDefault="00632E37" w:rsidP="00632E37">
      <w:pPr>
        <w:spacing w:after="0" w:line="259" w:lineRule="auto"/>
        <w:rPr>
          <w:rFonts w:ascii="Times New Roman" w:hAnsi="Times New Roman" w:cs="Times New Roman"/>
          <w:b/>
          <w:bCs/>
          <w:noProof/>
          <w:color w:val="000000" w:themeColor="text1"/>
        </w:rPr>
      </w:pPr>
    </w:p>
    <w:p w14:paraId="150825AF" w14:textId="77777777" w:rsidR="00632E37" w:rsidRPr="00F84794" w:rsidRDefault="00632E37" w:rsidP="00632E37">
      <w:pPr>
        <w:spacing w:after="0" w:line="259" w:lineRule="auto"/>
        <w:rPr>
          <w:rFonts w:ascii="Times New Roman" w:hAnsi="Times New Roman" w:cs="Times New Roman"/>
          <w:b/>
          <w:bCs/>
          <w:noProof/>
          <w:color w:val="000000" w:themeColor="text1"/>
        </w:rPr>
      </w:pPr>
    </w:p>
    <w:p w14:paraId="749A5475" w14:textId="77777777" w:rsidR="00632E37" w:rsidRPr="00F84794" w:rsidRDefault="00632E37" w:rsidP="00632E37">
      <w:pPr>
        <w:spacing w:after="0" w:line="259" w:lineRule="auto"/>
        <w:jc w:val="center"/>
        <w:rPr>
          <w:rFonts w:ascii="Times New Roman" w:hAnsi="Times New Roman" w:cs="Times New Roman"/>
          <w:b/>
          <w:bCs/>
          <w:color w:val="000000" w:themeColor="text1"/>
        </w:rPr>
      </w:pPr>
      <w:r w:rsidRPr="00F84794">
        <w:rPr>
          <w:rFonts w:ascii="Times New Roman" w:hAnsi="Times New Roman" w:cs="Times New Roman"/>
          <w:b/>
          <w:bCs/>
          <w:noProof/>
          <w:color w:val="000000" w:themeColor="text1"/>
        </w:rPr>
        <w:t>En partenariat avec ;</w:t>
      </w:r>
    </w:p>
    <w:p w14:paraId="5FA6FAF2" w14:textId="77777777" w:rsidR="00632E37" w:rsidRPr="00F84794" w:rsidRDefault="00632E37" w:rsidP="00632E37">
      <w:pPr>
        <w:spacing w:after="0" w:line="259" w:lineRule="auto"/>
        <w:rPr>
          <w:rFonts w:ascii="Times New Roman" w:hAnsi="Times New Roman" w:cs="Times New Roman"/>
          <w:color w:val="000000" w:themeColor="text1"/>
        </w:rPr>
      </w:pPr>
      <w:r w:rsidRPr="00F84794">
        <w:rPr>
          <w:rFonts w:ascii="Times New Roman" w:hAnsi="Times New Roman" w:cs="Times New Roman"/>
          <w:noProof/>
          <w:color w:val="000000" w:themeColor="text1"/>
          <w:lang w:val="fr-FR" w:eastAsia="fr-FR"/>
        </w:rPr>
        <w:drawing>
          <wp:anchor distT="0" distB="0" distL="114300" distR="114300" simplePos="0" relativeHeight="251660288" behindDoc="0" locked="0" layoutInCell="1" allowOverlap="1" wp14:anchorId="71932D53" wp14:editId="363ECEE6">
            <wp:simplePos x="0" y="0"/>
            <wp:positionH relativeFrom="column">
              <wp:posOffset>1643380</wp:posOffset>
            </wp:positionH>
            <wp:positionV relativeFrom="paragraph">
              <wp:posOffset>272415</wp:posOffset>
            </wp:positionV>
            <wp:extent cx="1581150" cy="704850"/>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0">
                      <a:extLst>
                        <a:ext uri="{28A0092B-C50C-407E-A947-70E740481C1C}">
                          <a14:useLocalDpi xmlns:a14="http://schemas.microsoft.com/office/drawing/2010/main" val="0"/>
                        </a:ext>
                      </a:extLst>
                    </a:blip>
                    <a:stretch>
                      <a:fillRect/>
                    </a:stretch>
                  </pic:blipFill>
                  <pic:spPr>
                    <a:xfrm>
                      <a:off x="0" y="0"/>
                      <a:ext cx="1581150" cy="704850"/>
                    </a:xfrm>
                    <a:prstGeom prst="rect">
                      <a:avLst/>
                    </a:prstGeom>
                  </pic:spPr>
                </pic:pic>
              </a:graphicData>
            </a:graphic>
          </wp:anchor>
        </w:drawing>
      </w:r>
      <w:r w:rsidRPr="00F84794">
        <w:rPr>
          <w:rFonts w:ascii="Times New Roman" w:hAnsi="Times New Roman" w:cs="Times New Roman"/>
          <w:b/>
          <w:color w:val="000000" w:themeColor="text1"/>
        </w:rPr>
        <w:t xml:space="preserve"> </w:t>
      </w:r>
    </w:p>
    <w:p w14:paraId="23F60C3A" w14:textId="77777777" w:rsidR="00632E37" w:rsidRPr="00F84794" w:rsidRDefault="00632E37" w:rsidP="00632E37">
      <w:pPr>
        <w:spacing w:after="0" w:line="259" w:lineRule="auto"/>
        <w:jc w:val="center"/>
        <w:rPr>
          <w:rFonts w:ascii="Times New Roman" w:hAnsi="Times New Roman" w:cs="Times New Roman"/>
          <w:b/>
          <w:color w:val="000000" w:themeColor="text1"/>
        </w:rPr>
      </w:pPr>
      <w:r w:rsidRPr="00F84794">
        <w:rPr>
          <w:rFonts w:ascii="Times New Roman" w:hAnsi="Times New Roman" w:cs="Times New Roman"/>
          <w:noProof/>
          <w:color w:val="000000" w:themeColor="text1"/>
          <w:lang w:val="fr-FR" w:eastAsia="fr-FR"/>
        </w:rPr>
        <w:drawing>
          <wp:anchor distT="0" distB="0" distL="114300" distR="114300" simplePos="0" relativeHeight="251659264" behindDoc="1" locked="0" layoutInCell="1" allowOverlap="1" wp14:anchorId="2294303D" wp14:editId="2A0B501B">
            <wp:simplePos x="0" y="0"/>
            <wp:positionH relativeFrom="column">
              <wp:posOffset>3497580</wp:posOffset>
            </wp:positionH>
            <wp:positionV relativeFrom="paragraph">
              <wp:posOffset>54610</wp:posOffset>
            </wp:positionV>
            <wp:extent cx="590550" cy="590550"/>
            <wp:effectExtent l="0" t="0" r="0" b="0"/>
            <wp:wrapTight wrapText="bothSides">
              <wp:wrapPolygon edited="0">
                <wp:start x="0" y="0"/>
                <wp:lineTo x="0" y="20903"/>
                <wp:lineTo x="20903" y="20903"/>
                <wp:lineTo x="20903" y="0"/>
                <wp:lineTo x="0" y="0"/>
              </wp:wrapPolygon>
            </wp:wrapTight>
            <wp:docPr id="1383213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pic:spPr>
                </pic:pic>
              </a:graphicData>
            </a:graphic>
            <wp14:sizeRelH relativeFrom="margin">
              <wp14:pctWidth>0</wp14:pctWidth>
            </wp14:sizeRelH>
            <wp14:sizeRelV relativeFrom="margin">
              <wp14:pctHeight>0</wp14:pctHeight>
            </wp14:sizeRelV>
          </wp:anchor>
        </w:drawing>
      </w:r>
    </w:p>
    <w:p w14:paraId="313FDFA4" w14:textId="77777777" w:rsidR="00632E37" w:rsidRPr="00F84794" w:rsidRDefault="00632E37" w:rsidP="00632E37">
      <w:pPr>
        <w:spacing w:after="0" w:line="259" w:lineRule="auto"/>
        <w:rPr>
          <w:rFonts w:ascii="Times New Roman" w:hAnsi="Times New Roman" w:cs="Times New Roman"/>
          <w:b/>
          <w:color w:val="000000" w:themeColor="text1"/>
        </w:rPr>
      </w:pPr>
    </w:p>
    <w:p w14:paraId="7A7376DC" w14:textId="77777777" w:rsidR="00632E37" w:rsidRPr="00F84794" w:rsidRDefault="00632E37" w:rsidP="00632E37">
      <w:pPr>
        <w:spacing w:after="0" w:line="259" w:lineRule="auto"/>
        <w:rPr>
          <w:rFonts w:ascii="Times New Roman" w:hAnsi="Times New Roman" w:cs="Times New Roman"/>
          <w:b/>
          <w:color w:val="000000" w:themeColor="text1"/>
        </w:rPr>
      </w:pPr>
      <w:r w:rsidRPr="00F84794">
        <w:rPr>
          <w:rFonts w:ascii="Times New Roman" w:eastAsia="Calibri" w:hAnsi="Times New Roman" w:cs="Times New Roman"/>
          <w:noProof/>
          <w:color w:val="000000" w:themeColor="text1"/>
          <w:lang w:val="fr-FR" w:eastAsia="fr-FR"/>
        </w:rPr>
        <mc:AlternateContent>
          <mc:Choice Requires="wpg">
            <w:drawing>
              <wp:inline distT="0" distB="0" distL="0" distR="0" wp14:anchorId="0F0CDB47" wp14:editId="7B44E07F">
                <wp:extent cx="5969000" cy="12700"/>
                <wp:effectExtent l="0" t="0" r="0" b="0"/>
                <wp:docPr id="117960306" name="Group 117960306"/>
                <wp:cNvGraphicFramePr/>
                <a:graphic xmlns:a="http://schemas.openxmlformats.org/drawingml/2006/main">
                  <a:graphicData uri="http://schemas.microsoft.com/office/word/2010/wordprocessingGroup">
                    <wpg:wgp>
                      <wpg:cNvGrpSpPr/>
                      <wpg:grpSpPr>
                        <a:xfrm>
                          <a:off x="0" y="0"/>
                          <a:ext cx="5969000" cy="12700"/>
                          <a:chOff x="0" y="0"/>
                          <a:chExt cx="5969000" cy="12700"/>
                        </a:xfrm>
                      </wpg:grpSpPr>
                      <wps:wsp>
                        <wps:cNvPr id="1879470823" name="Shape 77"/>
                        <wps:cNvSpPr/>
                        <wps:spPr>
                          <a:xfrm>
                            <a:off x="0" y="0"/>
                            <a:ext cx="5969000" cy="12700"/>
                          </a:xfrm>
                          <a:custGeom>
                            <a:avLst/>
                            <a:gdLst/>
                            <a:ahLst/>
                            <a:cxnLst/>
                            <a:rect l="0" t="0" r="0" b="0"/>
                            <a:pathLst>
                              <a:path w="5969000" h="12700">
                                <a:moveTo>
                                  <a:pt x="0" y="0"/>
                                </a:moveTo>
                                <a:lnTo>
                                  <a:pt x="5969000" y="12700"/>
                                </a:lnTo>
                              </a:path>
                            </a:pathLst>
                          </a:custGeom>
                          <a:ln w="19050" cap="flat">
                            <a:miter lim="127000"/>
                          </a:ln>
                        </wps:spPr>
                        <wps:style>
                          <a:lnRef idx="1">
                            <a:srgbClr val="70AD47"/>
                          </a:lnRef>
                          <a:fillRef idx="0">
                            <a:srgbClr val="000000">
                              <a:alpha val="0"/>
                            </a:srgbClr>
                          </a:fillRef>
                          <a:effectRef idx="0">
                            <a:scrgbClr r="0" g="0" b="0"/>
                          </a:effectRef>
                          <a:fontRef idx="none"/>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32C1E6E" id="Group 117960306" o:spid="_x0000_s1026" style="width:470pt;height:1pt;mso-position-horizontal-relative:char;mso-position-vertical-relative:line" coordsize="5969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">
                <v:shape id="Shape 77" o:spid="_x0000_s1027" style="position:absolute;width:59690;height:127;visibility:visible;mso-wrap-style:square;v-text-anchor:top" coordsize="59690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" path="m,l5969000,12700e" filled="f" strokecolor="#70ad47" strokeweight="1.5pt">
                  <v:stroke miterlimit="83231f" joinstyle="miter"/>
                  <v:path arrowok="t" textboxrect="0,0,5969000,12700"/>
                </v:shape>
                <w10:anchorlock/>
              </v:group>
            </w:pict>
          </mc:Fallback>
        </mc:AlternateContent>
      </w:r>
    </w:p>
    <w:p w14:paraId="3AA3BF6C"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36F3627C"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3215F721"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0FB67CCA"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66DE1604"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70FF7FFA" w14:textId="77777777" w:rsidR="00632E37" w:rsidRPr="00F84794" w:rsidRDefault="00632E37" w:rsidP="00632E37">
      <w:pPr>
        <w:spacing w:after="0" w:line="259" w:lineRule="auto"/>
        <w:ind w:left="-5"/>
        <w:jc w:val="center"/>
        <w:rPr>
          <w:rFonts w:ascii="Times New Roman" w:hAnsi="Times New Roman" w:cs="Times New Roman"/>
          <w:b/>
          <w:color w:val="000000" w:themeColor="text1"/>
        </w:rPr>
      </w:pPr>
    </w:p>
    <w:p w14:paraId="277296BF" w14:textId="77777777" w:rsidR="00632E37" w:rsidRPr="00F84794" w:rsidRDefault="00632E37" w:rsidP="00632E37">
      <w:pPr>
        <w:rPr>
          <w:rFonts w:ascii="Times New Roman" w:hAnsi="Times New Roman" w:cs="Times New Roman"/>
          <w:color w:val="000000" w:themeColor="text1"/>
        </w:rPr>
      </w:pPr>
    </w:p>
    <w:p w14:paraId="244D47E2" w14:textId="2E4851B0"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1. Introduction et contexte</w:t>
      </w:r>
    </w:p>
    <w:p w14:paraId="43CB700F"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L’Alliance pour les peuples autochtones et les communautés locales pour la conservation en Afrique (AICA) est une plateforme panafricaine créée pour unifier et amplifier la voix des peuples autochtones et des communautés locales (PACL) à travers l’Afrique. L’AICA défend les droits des PAC, promeut une conservation inclusive et renforce leur représentation dans les processus d’élaboration des politiques et de prise de décision relatifs aux terres, aux territoires et aux ressources naturelles.</w:t>
      </w:r>
    </w:p>
    <w:p w14:paraId="6E96C9CF"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 xml:space="preserve">Le travail de l’AICA repose sur des approches de conservation fondées sur les droits, reconnaissant les peuples autochtones comme </w:t>
      </w:r>
      <w:r w:rsidRPr="00632E37">
        <w:rPr>
          <w:rFonts w:ascii="Times New Roman" w:hAnsi="Times New Roman" w:cs="Times New Roman"/>
          <w:b/>
          <w:bCs/>
          <w:color w:val="000000" w:themeColor="text1"/>
        </w:rPr>
        <w:t xml:space="preserve">titulaires de droits, détenteurs de savoirs et acteurs clés des systèmes de gouvernance </w:t>
      </w:r>
      <w:r w:rsidRPr="00632E37">
        <w:rPr>
          <w:rFonts w:ascii="Times New Roman" w:hAnsi="Times New Roman" w:cs="Times New Roman"/>
          <w:color w:val="000000" w:themeColor="text1"/>
        </w:rPr>
        <w:t>. À travers ses priorités stratégiques, l’AICA vise à influencer les politiques, à renforcer le leadership communautaire et à promouvoir des modèles de conservation équitables et inclusifs sur l’ensemble du continent.</w:t>
      </w:r>
    </w:p>
    <w:p w14:paraId="29C90CA7"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Malgré l’engagement mondial croissant en faveur d’une conservation fondée sur les droits humains, d’importantes lacunes persistent quant à la sensibilisation, aux capacités et à l’application concrète de ces principes, tant au sein des institutions gouvernementales que parmi les dirigeants des communautés indépendantes de conservation. Le renforcement de ces capacités est essentiel pour garantir que les approches de conservation respectent les droits humains, promeuvent l’équité et soutiennent des moyens de subsistance durables.</w:t>
      </w:r>
    </w:p>
    <w:p w14:paraId="20F71F4A" w14:textId="720DE4A4" w:rsidR="00632E37" w:rsidRPr="00632E37" w:rsidRDefault="00632E37" w:rsidP="00632E37">
      <w:pPr>
        <w:rPr>
          <w:rFonts w:ascii="Times New Roman" w:hAnsi="Times New Roman" w:cs="Times New Roman"/>
          <w:color w:val="000000" w:themeColor="text1"/>
        </w:rPr>
      </w:pPr>
    </w:p>
    <w:p w14:paraId="43780B56"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2. À propos du projet</w:t>
      </w:r>
    </w:p>
    <w:p w14:paraId="6F57B795"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Grâce à la subvention de la Fondation Arcus, l'AICA met en œuvre une initiative régionale visant à renforcer la conservation inclusive et à promouvoir les approches fondées sur les droits dans les pays abritant les grands singes en Afrique centrale et de l'Ouest.</w:t>
      </w:r>
    </w:p>
    <w:p w14:paraId="132ACB10"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Cette mission de conseil contribue au renforcement des capacités de :</w:t>
      </w:r>
    </w:p>
    <w:p w14:paraId="6BBCE912" w14:textId="77777777" w:rsidR="00632E37" w:rsidRPr="00632E37" w:rsidRDefault="00632E37" w:rsidP="00317EE5">
      <w:pPr>
        <w:numPr>
          <w:ilvl w:val="0"/>
          <w:numId w:val="2"/>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fonctionnaires du gouvernement</w:t>
      </w:r>
    </w:p>
    <w:p w14:paraId="49464396" w14:textId="77777777" w:rsidR="00632E37" w:rsidRPr="00632E37" w:rsidRDefault="00632E37" w:rsidP="00317EE5">
      <w:pPr>
        <w:numPr>
          <w:ilvl w:val="0"/>
          <w:numId w:val="2"/>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dirigeants des peuples autochtones et des communautés locales (PACL)</w:t>
      </w:r>
    </w:p>
    <w:p w14:paraId="279BA8A3"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Comprendre et appliquer les principes et normes du PNUE en matière de droits humains dans le domaine de la conservation.</w:t>
      </w:r>
    </w:p>
    <w:p w14:paraId="19A13236"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Cette mission permettra également de développer des outils de formation pratiques et conviviaux en français et en swahili, et de renforcer la capacité des IPLC à collaborer efficacement avec les institutions gouvernementales et les organismes de conservation.</w:t>
      </w:r>
    </w:p>
    <w:p w14:paraId="580FEF8C" w14:textId="1A095DD1" w:rsidR="00632E37" w:rsidRPr="00632E37" w:rsidRDefault="00632E37" w:rsidP="00632E37">
      <w:pPr>
        <w:rPr>
          <w:rFonts w:ascii="Times New Roman" w:hAnsi="Times New Roman" w:cs="Times New Roman"/>
          <w:color w:val="000000" w:themeColor="text1"/>
        </w:rPr>
      </w:pPr>
    </w:p>
    <w:p w14:paraId="7665B4F5"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lastRenderedPageBreak/>
        <w:t>3. But et objectifs</w:t>
      </w:r>
    </w:p>
    <w:p w14:paraId="36DC18CF"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But</w:t>
      </w:r>
    </w:p>
    <w:p w14:paraId="34B09624"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Concevoir et mettre en œuvre un programme global de renforcement des capacités qui améliore la compréhension et l’application des approches de conservation fondées sur les droits de l’homme, tout en donnant aux peuples autochtones les moyens de participer efficacement aux processus de gouvernance et de prise de décision.</w:t>
      </w:r>
    </w:p>
    <w:p w14:paraId="757CADDB" w14:textId="7460E6AD" w:rsidR="00632E37" w:rsidRPr="00632E37" w:rsidRDefault="00632E37" w:rsidP="00632E37">
      <w:pPr>
        <w:rPr>
          <w:rFonts w:ascii="Times New Roman" w:hAnsi="Times New Roman" w:cs="Times New Roman"/>
          <w:color w:val="000000" w:themeColor="text1"/>
        </w:rPr>
      </w:pPr>
    </w:p>
    <w:p w14:paraId="4B268F0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Objectifs spécifiques</w:t>
      </w:r>
    </w:p>
    <w:p w14:paraId="214A3C70" w14:textId="77777777" w:rsidR="00632E37" w:rsidRPr="00632E37" w:rsidRDefault="00632E37" w:rsidP="00317EE5">
      <w:pPr>
        <w:numPr>
          <w:ilvl w:val="0"/>
          <w:numId w:val="3"/>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Renforcer la connaissance des principes et normes relatifs aux droits de l'homme du PNUE parmi les responsables gouvernementaux et les dirigeants du GIEC</w:t>
      </w:r>
    </w:p>
    <w:p w14:paraId="37FD6B4E" w14:textId="77777777" w:rsidR="00632E37" w:rsidRPr="00632E37" w:rsidRDefault="00632E37" w:rsidP="00317EE5">
      <w:pPr>
        <w:numPr>
          <w:ilvl w:val="0"/>
          <w:numId w:val="3"/>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Renforcer la capacité de l'IPLC à participer au dialogue politique, au plaidoyer et aux processus de gouvernance de la conservation</w:t>
      </w:r>
    </w:p>
    <w:p w14:paraId="100A6847" w14:textId="77777777" w:rsidR="00632E37" w:rsidRPr="00632E37" w:rsidRDefault="00632E37" w:rsidP="00317EE5">
      <w:pPr>
        <w:numPr>
          <w:ilvl w:val="0"/>
          <w:numId w:val="3"/>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Promouvoir un dialogue inclusif et constructif entre les peuples autochtones et les communautés locales, les institutions gouvernementales et les acteurs de la conservation</w:t>
      </w:r>
    </w:p>
    <w:p w14:paraId="7A4F3691" w14:textId="77777777" w:rsidR="00632E37" w:rsidRPr="00632E37" w:rsidRDefault="00632E37" w:rsidP="00317EE5">
      <w:pPr>
        <w:numPr>
          <w:ilvl w:val="0"/>
          <w:numId w:val="3"/>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 xml:space="preserve">Élaborer des outils de formation de haute qualité et adaptés au contexte en </w:t>
      </w:r>
      <w:r w:rsidRPr="00632E37">
        <w:rPr>
          <w:rFonts w:ascii="Times New Roman" w:hAnsi="Times New Roman" w:cs="Times New Roman"/>
          <w:b/>
          <w:bCs/>
          <w:color w:val="000000" w:themeColor="text1"/>
        </w:rPr>
        <w:t>français et en swahili</w:t>
      </w:r>
    </w:p>
    <w:p w14:paraId="4BED6384" w14:textId="77777777" w:rsidR="00632E37" w:rsidRPr="00632E37" w:rsidRDefault="00632E37" w:rsidP="00317EE5">
      <w:pPr>
        <w:numPr>
          <w:ilvl w:val="0"/>
          <w:numId w:val="3"/>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Soutenir l’intégration des approches fondées sur les droits de l’homme dans la planification et la mise en œuvre de la conservation</w:t>
      </w:r>
    </w:p>
    <w:p w14:paraId="6D0FAF1E" w14:textId="08B645C2" w:rsidR="00632E37" w:rsidRPr="00632E37" w:rsidRDefault="00632E37" w:rsidP="00632E37">
      <w:pPr>
        <w:rPr>
          <w:rFonts w:ascii="Times New Roman" w:hAnsi="Times New Roman" w:cs="Times New Roman"/>
          <w:color w:val="000000" w:themeColor="text1"/>
        </w:rPr>
      </w:pPr>
    </w:p>
    <w:p w14:paraId="0DBE0EE2"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 Étendue des travaux</w:t>
      </w:r>
    </w:p>
    <w:p w14:paraId="4F4DA6AD"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Le consultant réalisera les tâches suivantes :</w:t>
      </w:r>
    </w:p>
    <w:p w14:paraId="71002BFD" w14:textId="539ED202" w:rsidR="00632E37" w:rsidRPr="00632E37" w:rsidRDefault="00632E37" w:rsidP="00632E37">
      <w:pPr>
        <w:rPr>
          <w:rFonts w:ascii="Times New Roman" w:hAnsi="Times New Roman" w:cs="Times New Roman"/>
          <w:color w:val="000000" w:themeColor="text1"/>
        </w:rPr>
      </w:pPr>
    </w:p>
    <w:p w14:paraId="2EA46D64"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4.1 Conception et planification</w:t>
      </w:r>
    </w:p>
    <w:p w14:paraId="75055F21" w14:textId="77777777" w:rsidR="00632E37" w:rsidRPr="00632E37" w:rsidRDefault="00632E37" w:rsidP="00317EE5">
      <w:pPr>
        <w:numPr>
          <w:ilvl w:val="0"/>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Examiner les documents de projet et les documents de référence pertinents.</w:t>
      </w:r>
    </w:p>
    <w:p w14:paraId="6A1F71F7" w14:textId="77777777" w:rsidR="00632E37" w:rsidRPr="00632E37" w:rsidRDefault="00632E37" w:rsidP="00317EE5">
      <w:pPr>
        <w:numPr>
          <w:ilvl w:val="0"/>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Solliciter le Secrétariat de l'AICA pour préciser le périmètre, les attentes et les pays cibles</w:t>
      </w:r>
    </w:p>
    <w:p w14:paraId="53641008" w14:textId="77777777" w:rsidR="00632E37" w:rsidRPr="00632E37" w:rsidRDefault="00632E37" w:rsidP="00317EE5">
      <w:pPr>
        <w:numPr>
          <w:ilvl w:val="0"/>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Élaborer et soumettre un rapport initial décrivant :</w:t>
      </w:r>
    </w:p>
    <w:p w14:paraId="40C7F40C" w14:textId="77777777" w:rsidR="00632E37" w:rsidRPr="00632E37" w:rsidRDefault="00632E37" w:rsidP="00317EE5">
      <w:pPr>
        <w:numPr>
          <w:ilvl w:val="1"/>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Méthodologie détaillée</w:t>
      </w:r>
    </w:p>
    <w:p w14:paraId="51EA54D6" w14:textId="77777777" w:rsidR="00632E37" w:rsidRPr="00632E37" w:rsidRDefault="00632E37" w:rsidP="00317EE5">
      <w:pPr>
        <w:numPr>
          <w:ilvl w:val="1"/>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Plan de travail et échéancier</w:t>
      </w:r>
    </w:p>
    <w:p w14:paraId="25C585D6" w14:textId="77777777" w:rsidR="00632E37" w:rsidRPr="00632E37" w:rsidRDefault="00632E37" w:rsidP="00317EE5">
      <w:pPr>
        <w:numPr>
          <w:ilvl w:val="1"/>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Cartographie des parties prenantes</w:t>
      </w:r>
    </w:p>
    <w:p w14:paraId="25AC3265" w14:textId="77777777" w:rsidR="00632E37" w:rsidRPr="00632E37" w:rsidRDefault="00632E37" w:rsidP="00317EE5">
      <w:pPr>
        <w:numPr>
          <w:ilvl w:val="1"/>
          <w:numId w:val="4"/>
        </w:numPr>
        <w:jc w:val="both"/>
        <w:rPr>
          <w:rFonts w:ascii="Times New Roman" w:hAnsi="Times New Roman" w:cs="Times New Roman"/>
          <w:color w:val="000000" w:themeColor="text1"/>
        </w:rPr>
      </w:pPr>
      <w:r w:rsidRPr="00632E37">
        <w:rPr>
          <w:rFonts w:ascii="Times New Roman" w:hAnsi="Times New Roman" w:cs="Times New Roman"/>
          <w:color w:val="000000" w:themeColor="text1"/>
        </w:rPr>
        <w:t>Approche de formation</w:t>
      </w:r>
    </w:p>
    <w:p w14:paraId="5A160363" w14:textId="77777777" w:rsidR="00632E37" w:rsidRPr="00632E37" w:rsidRDefault="00632E37" w:rsidP="00632E37">
      <w:pPr>
        <w:numPr>
          <w:ilvl w:val="1"/>
          <w:numId w:val="4"/>
        </w:numPr>
        <w:rPr>
          <w:rFonts w:ascii="Times New Roman" w:hAnsi="Times New Roman" w:cs="Times New Roman"/>
          <w:color w:val="000000" w:themeColor="text1"/>
        </w:rPr>
      </w:pPr>
      <w:r w:rsidRPr="00632E37">
        <w:rPr>
          <w:rFonts w:ascii="Times New Roman" w:hAnsi="Times New Roman" w:cs="Times New Roman"/>
          <w:color w:val="000000" w:themeColor="text1"/>
        </w:rPr>
        <w:lastRenderedPageBreak/>
        <w:t>Évaluation des risques et mesures d'atténuation</w:t>
      </w:r>
    </w:p>
    <w:p w14:paraId="198CDDBC" w14:textId="0EEB68DA" w:rsidR="00632E37" w:rsidRPr="00632E37" w:rsidRDefault="00632E37" w:rsidP="00632E37">
      <w:pPr>
        <w:rPr>
          <w:rFonts w:ascii="Times New Roman" w:hAnsi="Times New Roman" w:cs="Times New Roman"/>
          <w:color w:val="000000" w:themeColor="text1"/>
        </w:rPr>
      </w:pPr>
    </w:p>
    <w:p w14:paraId="4C2336EF"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4.2 Élaboration du programme de formation</w:t>
      </w:r>
    </w:p>
    <w:p w14:paraId="7DFF4D28" w14:textId="77777777" w:rsidR="00632E37" w:rsidRPr="00632E37" w:rsidRDefault="00632E37" w:rsidP="00632E37">
      <w:pPr>
        <w:numPr>
          <w:ilvl w:val="0"/>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Élaborer un programme de formation structuré, aligné sur :</w:t>
      </w:r>
    </w:p>
    <w:p w14:paraId="463FEBAC"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Principes et normes du PNUE en matière de droits humains dans la conservation</w:t>
      </w:r>
    </w:p>
    <w:p w14:paraId="1D40EDF1"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Approches de la conservation fondées sur les droits</w:t>
      </w:r>
    </w:p>
    <w:p w14:paraId="5EF502D4"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Gouvernance, participation et plaidoyer de l'IPLC</w:t>
      </w:r>
    </w:p>
    <w:p w14:paraId="787A5568" w14:textId="77777777" w:rsidR="00632E37" w:rsidRPr="00632E37" w:rsidRDefault="00632E37" w:rsidP="00632E37">
      <w:pPr>
        <w:numPr>
          <w:ilvl w:val="0"/>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Veiller à inclure :</w:t>
      </w:r>
    </w:p>
    <w:p w14:paraId="082B612F"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Études de cas issues de contextes africains</w:t>
      </w:r>
    </w:p>
    <w:p w14:paraId="033BF8DB"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Outils et exercices pratiques</w:t>
      </w:r>
    </w:p>
    <w:p w14:paraId="2EC6A68D" w14:textId="77777777" w:rsidR="00632E37" w:rsidRPr="00632E37" w:rsidRDefault="00632E37" w:rsidP="00632E37">
      <w:pPr>
        <w:numPr>
          <w:ilvl w:val="1"/>
          <w:numId w:val="5"/>
        </w:numPr>
        <w:rPr>
          <w:rFonts w:ascii="Times New Roman" w:hAnsi="Times New Roman" w:cs="Times New Roman"/>
          <w:color w:val="000000" w:themeColor="text1"/>
        </w:rPr>
      </w:pPr>
      <w:r w:rsidRPr="00632E37">
        <w:rPr>
          <w:rFonts w:ascii="Times New Roman" w:hAnsi="Times New Roman" w:cs="Times New Roman"/>
          <w:color w:val="000000" w:themeColor="text1"/>
        </w:rPr>
        <w:t>méthodes d'apprentissage interactives et participatives</w:t>
      </w:r>
    </w:p>
    <w:p w14:paraId="15F04386" w14:textId="782229AA" w:rsidR="00632E37" w:rsidRPr="00632E37" w:rsidRDefault="00632E37" w:rsidP="00632E37">
      <w:pPr>
        <w:rPr>
          <w:rFonts w:ascii="Times New Roman" w:hAnsi="Times New Roman" w:cs="Times New Roman"/>
          <w:color w:val="000000" w:themeColor="text1"/>
        </w:rPr>
      </w:pPr>
    </w:p>
    <w:p w14:paraId="3D5B1D0F"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4.3 Développement de trousses de formation</w:t>
      </w:r>
    </w:p>
    <w:p w14:paraId="6B7696D2" w14:textId="77777777" w:rsidR="00632E37" w:rsidRPr="00632E37" w:rsidRDefault="00632E37" w:rsidP="00632E37">
      <w:pPr>
        <w:numPr>
          <w:ilvl w:val="0"/>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Élaborer des outils de formation complets comprenant :</w:t>
      </w:r>
    </w:p>
    <w:p w14:paraId="3F84F658"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Guides pour animateurs</w:t>
      </w:r>
    </w:p>
    <w:p w14:paraId="6AEB51C7"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Manuels du participant</w:t>
      </w:r>
    </w:p>
    <w:p w14:paraId="60AD27E4"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Matériel visuel et pédagogique</w:t>
      </w:r>
    </w:p>
    <w:p w14:paraId="6DE0458B" w14:textId="77777777" w:rsidR="00632E37" w:rsidRPr="00632E37" w:rsidRDefault="00632E37" w:rsidP="00632E37">
      <w:pPr>
        <w:numPr>
          <w:ilvl w:val="0"/>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Traduire et adapter les documents en :</w:t>
      </w:r>
    </w:p>
    <w:p w14:paraId="4FD8DF07"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Français</w:t>
      </w:r>
    </w:p>
    <w:p w14:paraId="4DF1015C"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Swahili</w:t>
      </w:r>
    </w:p>
    <w:p w14:paraId="31CDFCE4" w14:textId="77777777" w:rsidR="00632E37" w:rsidRPr="00632E37" w:rsidRDefault="00632E37" w:rsidP="00632E37">
      <w:pPr>
        <w:numPr>
          <w:ilvl w:val="0"/>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S'assurer que les matériaux sont :</w:t>
      </w:r>
    </w:p>
    <w:p w14:paraId="466B81D5"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Culturellement approprié</w:t>
      </w:r>
    </w:p>
    <w:p w14:paraId="25609B67"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Accessible aux IPLC</w:t>
      </w:r>
    </w:p>
    <w:p w14:paraId="06367BCA" w14:textId="77777777" w:rsidR="00632E37" w:rsidRPr="00632E37" w:rsidRDefault="00632E37" w:rsidP="00632E37">
      <w:pPr>
        <w:numPr>
          <w:ilvl w:val="1"/>
          <w:numId w:val="6"/>
        </w:numPr>
        <w:rPr>
          <w:rFonts w:ascii="Times New Roman" w:hAnsi="Times New Roman" w:cs="Times New Roman"/>
          <w:color w:val="000000" w:themeColor="text1"/>
        </w:rPr>
      </w:pPr>
      <w:r w:rsidRPr="00632E37">
        <w:rPr>
          <w:rFonts w:ascii="Times New Roman" w:hAnsi="Times New Roman" w:cs="Times New Roman"/>
          <w:color w:val="000000" w:themeColor="text1"/>
        </w:rPr>
        <w:t>Convient à la réplication et à une utilisation à long terme</w:t>
      </w:r>
    </w:p>
    <w:p w14:paraId="73379ECA" w14:textId="51A560FC" w:rsidR="00632E37" w:rsidRPr="00632E37" w:rsidRDefault="00632E37" w:rsidP="00632E37">
      <w:pPr>
        <w:rPr>
          <w:rFonts w:ascii="Times New Roman" w:hAnsi="Times New Roman" w:cs="Times New Roman"/>
          <w:color w:val="000000" w:themeColor="text1"/>
        </w:rPr>
      </w:pPr>
    </w:p>
    <w:p w14:paraId="37D3A43E"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4.4 Déroulement de la formation</w:t>
      </w:r>
    </w:p>
    <w:p w14:paraId="4D50B7EA" w14:textId="77777777" w:rsidR="00632E37" w:rsidRPr="00632E37" w:rsidRDefault="00632E37" w:rsidP="00632E37">
      <w:pPr>
        <w:numPr>
          <w:ilvl w:val="0"/>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Organiser des ateliers de formation dans certains pays abritant des grands singes.</w:t>
      </w:r>
    </w:p>
    <w:p w14:paraId="2CAC5A3C" w14:textId="77777777" w:rsidR="00632E37" w:rsidRPr="00632E37" w:rsidRDefault="00632E37" w:rsidP="00632E37">
      <w:pPr>
        <w:numPr>
          <w:ilvl w:val="0"/>
          <w:numId w:val="7"/>
        </w:numPr>
        <w:rPr>
          <w:rFonts w:ascii="Times New Roman" w:hAnsi="Times New Roman" w:cs="Times New Roman"/>
          <w:color w:val="000000" w:themeColor="text1"/>
        </w:rPr>
      </w:pPr>
      <w:r w:rsidRPr="00632E37">
        <w:rPr>
          <w:rFonts w:ascii="Times New Roman" w:hAnsi="Times New Roman" w:cs="Times New Roman"/>
          <w:color w:val="000000" w:themeColor="text1"/>
        </w:rPr>
        <w:lastRenderedPageBreak/>
        <w:t>Appliquer des méthodologies participatives et inclusives</w:t>
      </w:r>
    </w:p>
    <w:p w14:paraId="6B0E7B8C" w14:textId="77777777" w:rsidR="00632E37" w:rsidRPr="00632E37" w:rsidRDefault="00632E37" w:rsidP="00632E37">
      <w:pPr>
        <w:numPr>
          <w:ilvl w:val="0"/>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Assurer la représentation de :</w:t>
      </w:r>
    </w:p>
    <w:p w14:paraId="25A69C34" w14:textId="77777777" w:rsidR="00632E37" w:rsidRPr="00632E37" w:rsidRDefault="00632E37" w:rsidP="00632E37">
      <w:pPr>
        <w:numPr>
          <w:ilvl w:val="1"/>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dirigeants de l'IPLC (y compris les femmes, les jeunes et les groupes marginalisés)</w:t>
      </w:r>
    </w:p>
    <w:p w14:paraId="03C33190" w14:textId="77777777" w:rsidR="00632E37" w:rsidRPr="00632E37" w:rsidRDefault="00632E37" w:rsidP="00632E37">
      <w:pPr>
        <w:numPr>
          <w:ilvl w:val="1"/>
          <w:numId w:val="7"/>
        </w:numPr>
        <w:rPr>
          <w:rFonts w:ascii="Times New Roman" w:hAnsi="Times New Roman" w:cs="Times New Roman"/>
          <w:color w:val="000000" w:themeColor="text1"/>
        </w:rPr>
      </w:pPr>
      <w:r w:rsidRPr="00632E37">
        <w:rPr>
          <w:rFonts w:ascii="Times New Roman" w:hAnsi="Times New Roman" w:cs="Times New Roman"/>
          <w:color w:val="000000" w:themeColor="text1"/>
        </w:rPr>
        <w:t>fonctionnaires du gouvernement</w:t>
      </w:r>
    </w:p>
    <w:p w14:paraId="2CE1EC2F" w14:textId="7C535E7E" w:rsidR="00632E37" w:rsidRDefault="00632E37" w:rsidP="00632E37">
      <w:pPr>
        <w:numPr>
          <w:ilvl w:val="1"/>
          <w:numId w:val="7"/>
        </w:numPr>
        <w:rPr>
          <w:rFonts w:ascii="Times New Roman" w:hAnsi="Times New Roman" w:cs="Times New Roman"/>
          <w:color w:val="000000" w:themeColor="text1"/>
        </w:rPr>
      </w:pPr>
      <w:proofErr w:type="gramStart"/>
      <w:r w:rsidRPr="00632E37">
        <w:rPr>
          <w:rFonts w:ascii="Times New Roman" w:hAnsi="Times New Roman" w:cs="Times New Roman"/>
          <w:color w:val="000000" w:themeColor="text1"/>
        </w:rPr>
        <w:t>acteurs</w:t>
      </w:r>
      <w:proofErr w:type="gramEnd"/>
      <w:r w:rsidRPr="00632E37">
        <w:rPr>
          <w:rFonts w:ascii="Times New Roman" w:hAnsi="Times New Roman" w:cs="Times New Roman"/>
          <w:color w:val="000000" w:themeColor="text1"/>
        </w:rPr>
        <w:t xml:space="preserve"> de la conservation</w:t>
      </w:r>
    </w:p>
    <w:p w14:paraId="255D0C8C" w14:textId="77777777" w:rsidR="00317EE5" w:rsidRPr="00317EE5" w:rsidRDefault="00317EE5" w:rsidP="00317EE5">
      <w:pPr>
        <w:ind w:left="1440"/>
        <w:rPr>
          <w:rFonts w:ascii="Times New Roman" w:hAnsi="Times New Roman" w:cs="Times New Roman"/>
          <w:color w:val="000000" w:themeColor="text1"/>
        </w:rPr>
      </w:pPr>
    </w:p>
    <w:p w14:paraId="722E92F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4.5 Facilitation du dialogue et de l'engagement</w:t>
      </w:r>
    </w:p>
    <w:p w14:paraId="7FC95ABB" w14:textId="77777777" w:rsidR="00632E37" w:rsidRPr="00632E37" w:rsidRDefault="00632E37" w:rsidP="00632E37">
      <w:pPr>
        <w:numPr>
          <w:ilvl w:val="0"/>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Faciliter les plateformes de dialogue entre les peuples autochtones et les institutions gouvernementales</w:t>
      </w:r>
    </w:p>
    <w:p w14:paraId="6AAAB6EF" w14:textId="77777777" w:rsidR="00632E37" w:rsidRPr="00632E37" w:rsidRDefault="00632E37" w:rsidP="00632E37">
      <w:pPr>
        <w:numPr>
          <w:ilvl w:val="0"/>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Renforcer les capacités de l'IPLC à :</w:t>
      </w:r>
    </w:p>
    <w:p w14:paraId="3238EA88" w14:textId="77777777" w:rsidR="00632E37" w:rsidRPr="00632E37" w:rsidRDefault="00632E37" w:rsidP="00632E37">
      <w:pPr>
        <w:numPr>
          <w:ilvl w:val="1"/>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Entamer des négociations</w:t>
      </w:r>
    </w:p>
    <w:p w14:paraId="4C8A38F9" w14:textId="77777777" w:rsidR="00632E37" w:rsidRPr="00632E37" w:rsidRDefault="00632E37" w:rsidP="00632E37">
      <w:pPr>
        <w:numPr>
          <w:ilvl w:val="1"/>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Participer aux processus d'élaboration des politiques</w:t>
      </w:r>
    </w:p>
    <w:p w14:paraId="6DB892ED" w14:textId="77777777" w:rsidR="00632E37" w:rsidRPr="00632E37" w:rsidRDefault="00632E37" w:rsidP="00632E37">
      <w:pPr>
        <w:numPr>
          <w:ilvl w:val="1"/>
          <w:numId w:val="8"/>
        </w:numPr>
        <w:rPr>
          <w:rFonts w:ascii="Times New Roman" w:hAnsi="Times New Roman" w:cs="Times New Roman"/>
          <w:color w:val="000000" w:themeColor="text1"/>
        </w:rPr>
      </w:pPr>
      <w:r w:rsidRPr="00632E37">
        <w:rPr>
          <w:rFonts w:ascii="Times New Roman" w:hAnsi="Times New Roman" w:cs="Times New Roman"/>
          <w:color w:val="000000" w:themeColor="text1"/>
        </w:rPr>
        <w:t>Défenseur de la conservation fondée sur les droits</w:t>
      </w:r>
    </w:p>
    <w:p w14:paraId="5CE99292" w14:textId="50C4A4D0" w:rsidR="00632E37" w:rsidRPr="00632E37" w:rsidRDefault="00632E37" w:rsidP="00632E37">
      <w:pPr>
        <w:rPr>
          <w:rFonts w:ascii="Times New Roman" w:hAnsi="Times New Roman" w:cs="Times New Roman"/>
          <w:color w:val="000000" w:themeColor="text1"/>
        </w:rPr>
      </w:pPr>
    </w:p>
    <w:p w14:paraId="07A8CA47"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4.6 Documentation et rapports</w:t>
      </w:r>
    </w:p>
    <w:p w14:paraId="7164B419" w14:textId="77777777" w:rsidR="00632E37" w:rsidRPr="00632E37" w:rsidRDefault="00632E37" w:rsidP="00632E37">
      <w:pPr>
        <w:numPr>
          <w:ilvl w:val="0"/>
          <w:numId w:val="9"/>
        </w:numPr>
        <w:rPr>
          <w:rFonts w:ascii="Times New Roman" w:hAnsi="Times New Roman" w:cs="Times New Roman"/>
          <w:color w:val="000000" w:themeColor="text1"/>
        </w:rPr>
      </w:pPr>
      <w:r w:rsidRPr="00632E37">
        <w:rPr>
          <w:rFonts w:ascii="Times New Roman" w:hAnsi="Times New Roman" w:cs="Times New Roman"/>
          <w:color w:val="000000" w:themeColor="text1"/>
        </w:rPr>
        <w:t>Documenter les processus de formation, la participation et les résultats</w:t>
      </w:r>
    </w:p>
    <w:p w14:paraId="3F5E06A9" w14:textId="77777777" w:rsidR="00632E37" w:rsidRPr="00632E37" w:rsidRDefault="00632E37" w:rsidP="00632E37">
      <w:pPr>
        <w:numPr>
          <w:ilvl w:val="0"/>
          <w:numId w:val="9"/>
        </w:numPr>
        <w:rPr>
          <w:rFonts w:ascii="Times New Roman" w:hAnsi="Times New Roman" w:cs="Times New Roman"/>
          <w:color w:val="000000" w:themeColor="text1"/>
        </w:rPr>
      </w:pPr>
      <w:r w:rsidRPr="00632E37">
        <w:rPr>
          <w:rFonts w:ascii="Times New Roman" w:hAnsi="Times New Roman" w:cs="Times New Roman"/>
          <w:color w:val="000000" w:themeColor="text1"/>
        </w:rPr>
        <w:t>Consignez les leçons apprises, les défis rencontrés et les meilleures pratiques</w:t>
      </w:r>
    </w:p>
    <w:p w14:paraId="15326AAC" w14:textId="77777777" w:rsidR="00632E37" w:rsidRPr="00632E37" w:rsidRDefault="00632E37" w:rsidP="00632E37">
      <w:pPr>
        <w:numPr>
          <w:ilvl w:val="0"/>
          <w:numId w:val="9"/>
        </w:numPr>
        <w:rPr>
          <w:rFonts w:ascii="Times New Roman" w:hAnsi="Times New Roman" w:cs="Times New Roman"/>
          <w:color w:val="000000" w:themeColor="text1"/>
        </w:rPr>
      </w:pPr>
      <w:r w:rsidRPr="00632E37">
        <w:rPr>
          <w:rFonts w:ascii="Times New Roman" w:hAnsi="Times New Roman" w:cs="Times New Roman"/>
          <w:color w:val="000000" w:themeColor="text1"/>
        </w:rPr>
        <w:t>Formuler des recommandations en matière de mise à l'échelle et de durabilité</w:t>
      </w:r>
    </w:p>
    <w:p w14:paraId="4A3303D4" w14:textId="22F38FAA" w:rsidR="00632E37" w:rsidRPr="00632E37" w:rsidRDefault="00632E37" w:rsidP="00632E37">
      <w:pPr>
        <w:rPr>
          <w:rFonts w:ascii="Times New Roman" w:hAnsi="Times New Roman" w:cs="Times New Roman"/>
          <w:color w:val="000000" w:themeColor="text1"/>
        </w:rPr>
      </w:pPr>
    </w:p>
    <w:p w14:paraId="2226B076"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5. Méthodologie</w:t>
      </w:r>
    </w:p>
    <w:p w14:paraId="414C6D8B"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Le consultant adoptera une approche participative, inclusive et fondée sur les droits, comprenant :</w:t>
      </w:r>
    </w:p>
    <w:p w14:paraId="2C133CB2"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Co-conception du contenu de formation avec les représentants de l'IPLC</w:t>
      </w:r>
    </w:p>
    <w:p w14:paraId="790C5246"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Application des techniques d'apprentissage expérientiel pour adultes</w:t>
      </w:r>
    </w:p>
    <w:p w14:paraId="68BD50EC"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Utilisation d'approches d'apprentissage contextuelles et fondées sur des cas</w:t>
      </w:r>
    </w:p>
    <w:p w14:paraId="41D65390" w14:textId="77777777" w:rsidR="00632E37" w:rsidRPr="00632E37" w:rsidRDefault="00632E37" w:rsidP="00632E37">
      <w:pPr>
        <w:numPr>
          <w:ilvl w:val="0"/>
          <w:numId w:val="10"/>
        </w:numPr>
        <w:rPr>
          <w:rFonts w:ascii="Times New Roman" w:hAnsi="Times New Roman" w:cs="Times New Roman"/>
          <w:color w:val="000000" w:themeColor="text1"/>
        </w:rPr>
      </w:pPr>
      <w:r w:rsidRPr="00632E37">
        <w:rPr>
          <w:rFonts w:ascii="Times New Roman" w:hAnsi="Times New Roman" w:cs="Times New Roman"/>
          <w:color w:val="000000" w:themeColor="text1"/>
        </w:rPr>
        <w:t>Intégration des perspectives des savoirs autochtones et traditionnels (SAT)</w:t>
      </w:r>
    </w:p>
    <w:p w14:paraId="56508F62"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La méthodologie sera détaillée dans le rapport initial.</w:t>
      </w:r>
    </w:p>
    <w:p w14:paraId="6B9974CC" w14:textId="74DB26E6" w:rsidR="00632E37" w:rsidRPr="00632E37" w:rsidRDefault="00632E37" w:rsidP="00632E37">
      <w:pPr>
        <w:rPr>
          <w:rFonts w:ascii="Times New Roman" w:hAnsi="Times New Roman" w:cs="Times New Roman"/>
          <w:color w:val="000000" w:themeColor="text1"/>
        </w:rPr>
      </w:pPr>
    </w:p>
    <w:p w14:paraId="792299E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6. Livrables</w:t>
      </w:r>
    </w:p>
    <w:p w14:paraId="3F777DC0"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Le consultant devra fournir les prestations suivantes :</w:t>
      </w:r>
    </w:p>
    <w:p w14:paraId="661FFD33"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Rapport initial (méthodologie, plan de travail, approche de formation)</w:t>
      </w:r>
    </w:p>
    <w:p w14:paraId="74416E2F"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Programme et matériel de formation</w:t>
      </w:r>
    </w:p>
    <w:p w14:paraId="0D2CE70E"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Outils de formation en français et en swahili</w:t>
      </w:r>
    </w:p>
    <w:p w14:paraId="0EA8BFCF"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Ateliers de formation dispensés (nombre à convenir avec l'AICA)</w:t>
      </w:r>
    </w:p>
    <w:p w14:paraId="7AD312C1"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Documentation des séances de formation et de la participation</w:t>
      </w:r>
    </w:p>
    <w:p w14:paraId="0E837CEA" w14:textId="77777777" w:rsidR="00632E37" w:rsidRPr="00632E37" w:rsidRDefault="00632E37" w:rsidP="00632E37">
      <w:pPr>
        <w:numPr>
          <w:ilvl w:val="0"/>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Rapport final sur le renforcement des capacités comprenant :</w:t>
      </w:r>
    </w:p>
    <w:p w14:paraId="655BC7CA" w14:textId="77777777" w:rsidR="00632E37" w:rsidRPr="00632E37" w:rsidRDefault="00632E37" w:rsidP="00632E37">
      <w:pPr>
        <w:numPr>
          <w:ilvl w:val="1"/>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Résultats et réalisations</w:t>
      </w:r>
    </w:p>
    <w:p w14:paraId="0D0C85B9" w14:textId="77777777" w:rsidR="00632E37" w:rsidRPr="00632E37" w:rsidRDefault="00632E37" w:rsidP="00632E37">
      <w:pPr>
        <w:numPr>
          <w:ilvl w:val="1"/>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Leçons apprises</w:t>
      </w:r>
    </w:p>
    <w:p w14:paraId="3472CEEB" w14:textId="77777777" w:rsidR="00632E37" w:rsidRPr="00632E37" w:rsidRDefault="00632E37" w:rsidP="00632E37">
      <w:pPr>
        <w:numPr>
          <w:ilvl w:val="1"/>
          <w:numId w:val="11"/>
        </w:numPr>
        <w:rPr>
          <w:rFonts w:ascii="Times New Roman" w:hAnsi="Times New Roman" w:cs="Times New Roman"/>
          <w:color w:val="000000" w:themeColor="text1"/>
        </w:rPr>
      </w:pPr>
      <w:r w:rsidRPr="00632E37">
        <w:rPr>
          <w:rFonts w:ascii="Times New Roman" w:hAnsi="Times New Roman" w:cs="Times New Roman"/>
          <w:color w:val="000000" w:themeColor="text1"/>
        </w:rPr>
        <w:t>Recommandations</w:t>
      </w:r>
    </w:p>
    <w:p w14:paraId="3378D681"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Tous les livrables doivent être soumis en anglais clair et professionnel, avec les documents traduits si nécessaire.</w:t>
      </w:r>
    </w:p>
    <w:p w14:paraId="3DC9D121" w14:textId="167043F6" w:rsidR="00632E37" w:rsidRPr="00632E37" w:rsidRDefault="00632E37" w:rsidP="00632E37">
      <w:pPr>
        <w:rPr>
          <w:rFonts w:ascii="Times New Roman" w:hAnsi="Times New Roman" w:cs="Times New Roman"/>
          <w:color w:val="000000" w:themeColor="text1"/>
        </w:rPr>
      </w:pPr>
    </w:p>
    <w:p w14:paraId="0268B6A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7. Échéancier de paiement</w:t>
      </w:r>
    </w:p>
    <w:p w14:paraId="06341271" w14:textId="77777777" w:rsidR="00632E37" w:rsidRPr="00632E37" w:rsidRDefault="00632E37" w:rsidP="00632E37">
      <w:pPr>
        <w:numPr>
          <w:ilvl w:val="0"/>
          <w:numId w:val="12"/>
        </w:numPr>
        <w:rPr>
          <w:rFonts w:ascii="Times New Roman" w:hAnsi="Times New Roman" w:cs="Times New Roman"/>
          <w:color w:val="000000" w:themeColor="text1"/>
        </w:rPr>
      </w:pPr>
      <w:r w:rsidRPr="00632E37">
        <w:rPr>
          <w:rFonts w:ascii="Times New Roman" w:hAnsi="Times New Roman" w:cs="Times New Roman"/>
          <w:color w:val="000000" w:themeColor="text1"/>
        </w:rPr>
        <w:t>Rapport initial : 30 %</w:t>
      </w:r>
    </w:p>
    <w:p w14:paraId="16B43081" w14:textId="77777777" w:rsidR="00632E37" w:rsidRPr="00632E37" w:rsidRDefault="00632E37" w:rsidP="00632E37">
      <w:pPr>
        <w:numPr>
          <w:ilvl w:val="0"/>
          <w:numId w:val="12"/>
        </w:numPr>
        <w:rPr>
          <w:rFonts w:ascii="Times New Roman" w:hAnsi="Times New Roman" w:cs="Times New Roman"/>
          <w:color w:val="000000" w:themeColor="text1"/>
        </w:rPr>
      </w:pPr>
      <w:r w:rsidRPr="00632E37">
        <w:rPr>
          <w:rFonts w:ascii="Times New Roman" w:hAnsi="Times New Roman" w:cs="Times New Roman"/>
          <w:color w:val="000000" w:themeColor="text1"/>
        </w:rPr>
        <w:t>Mise en œuvre de la formation et production des documents préliminaires : 30 %</w:t>
      </w:r>
    </w:p>
    <w:p w14:paraId="19B578DB" w14:textId="77777777" w:rsidR="00632E37" w:rsidRPr="00632E37" w:rsidRDefault="00632E37" w:rsidP="00632E37">
      <w:pPr>
        <w:numPr>
          <w:ilvl w:val="0"/>
          <w:numId w:val="12"/>
        </w:numPr>
        <w:rPr>
          <w:rFonts w:ascii="Times New Roman" w:hAnsi="Times New Roman" w:cs="Times New Roman"/>
          <w:color w:val="000000" w:themeColor="text1"/>
        </w:rPr>
      </w:pPr>
      <w:r w:rsidRPr="00632E37">
        <w:rPr>
          <w:rFonts w:ascii="Times New Roman" w:hAnsi="Times New Roman" w:cs="Times New Roman"/>
          <w:color w:val="000000" w:themeColor="text1"/>
        </w:rPr>
        <w:t>Livrables finaux : 40 %</w:t>
      </w:r>
    </w:p>
    <w:p w14:paraId="61EA3665" w14:textId="6BEBF853" w:rsidR="00632E37" w:rsidRPr="00632E37" w:rsidRDefault="00632E37" w:rsidP="00632E37">
      <w:pPr>
        <w:rPr>
          <w:rFonts w:ascii="Times New Roman" w:hAnsi="Times New Roman" w:cs="Times New Roman"/>
          <w:color w:val="000000" w:themeColor="text1"/>
        </w:rPr>
      </w:pPr>
    </w:p>
    <w:p w14:paraId="7135B829"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8. Qualifications</w:t>
      </w:r>
    </w:p>
    <w:p w14:paraId="34E701F8"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Diplôme d'études supérieures en droits de l'homme, conservation, développement social ou domaine connexe</w:t>
      </w:r>
    </w:p>
    <w:p w14:paraId="1D43515A"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Minimum de 7 ans d'expérience pertinente</w:t>
      </w:r>
    </w:p>
    <w:p w14:paraId="3A949D66"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Expérience avérée en conception et animation de formations</w:t>
      </w:r>
    </w:p>
    <w:p w14:paraId="72671244"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Expérience avérée de travail avec les IPLC et les approches communautaires</w:t>
      </w:r>
    </w:p>
    <w:p w14:paraId="7734AE17"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Solide compréhension des approches de conservation fondées sur les droits de l'homme</w:t>
      </w:r>
    </w:p>
    <w:p w14:paraId="3B079E12" w14:textId="77777777" w:rsidR="00632E37" w:rsidRPr="00632E37" w:rsidRDefault="00632E37" w:rsidP="00632E37">
      <w:pPr>
        <w:numPr>
          <w:ilvl w:val="0"/>
          <w:numId w:val="13"/>
        </w:numPr>
        <w:rPr>
          <w:rFonts w:ascii="Times New Roman" w:hAnsi="Times New Roman" w:cs="Times New Roman"/>
          <w:color w:val="000000" w:themeColor="text1"/>
        </w:rPr>
      </w:pPr>
      <w:r w:rsidRPr="00632E37">
        <w:rPr>
          <w:rFonts w:ascii="Times New Roman" w:hAnsi="Times New Roman" w:cs="Times New Roman"/>
          <w:color w:val="000000" w:themeColor="text1"/>
        </w:rPr>
        <w:t>Maîtrise de l'anglais et connaissance pratique du français et/ou du swahili requises</w:t>
      </w:r>
    </w:p>
    <w:p w14:paraId="2E47D9CE" w14:textId="56A27EB0" w:rsidR="00632E37" w:rsidRPr="00632E37" w:rsidRDefault="00632E37" w:rsidP="00632E37">
      <w:pPr>
        <w:rPr>
          <w:rFonts w:ascii="Times New Roman" w:hAnsi="Times New Roman" w:cs="Times New Roman"/>
          <w:color w:val="000000" w:themeColor="text1"/>
        </w:rPr>
      </w:pPr>
    </w:p>
    <w:p w14:paraId="670D7199" w14:textId="24438AC1" w:rsidR="0041506A" w:rsidRPr="00F84794"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9. Critères de sélection</w:t>
      </w:r>
    </w:p>
    <w:p w14:paraId="782391B5" w14:textId="77777777" w:rsidR="0041506A" w:rsidRPr="00F84794" w:rsidRDefault="0041506A" w:rsidP="00632E37">
      <w:pPr>
        <w:rPr>
          <w:rFonts w:ascii="Times New Roman" w:hAnsi="Times New Roman" w:cs="Times New Roman"/>
          <w:b/>
          <w:bCs/>
          <w:color w:val="000000" w:themeColor="text1"/>
        </w:rPr>
      </w:pPr>
    </w:p>
    <w:tbl>
      <w:tblPr>
        <w:tblStyle w:val="Grilledutableau"/>
        <w:tblW w:w="6650" w:type="dxa"/>
        <w:tblLook w:val="04A0" w:firstRow="1" w:lastRow="0" w:firstColumn="1" w:lastColumn="0" w:noHBand="0" w:noVBand="1"/>
      </w:tblPr>
      <w:tblGrid>
        <w:gridCol w:w="3325"/>
        <w:gridCol w:w="3325"/>
      </w:tblGrid>
      <w:tr w:rsidR="0041506A" w:rsidRPr="00F84794" w14:paraId="2B794101" w14:textId="77777777" w:rsidTr="0041506A">
        <w:tc>
          <w:tcPr>
            <w:tcW w:w="3325" w:type="dxa"/>
            <w:vAlign w:val="center"/>
          </w:tcPr>
          <w:p w14:paraId="42822D7D" w14:textId="11C5AC22"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b/>
                <w:bCs/>
                <w:color w:val="000000" w:themeColor="text1"/>
              </w:rPr>
              <w:t>Critère</w:t>
            </w:r>
          </w:p>
        </w:tc>
        <w:tc>
          <w:tcPr>
            <w:tcW w:w="3325" w:type="dxa"/>
            <w:vAlign w:val="center"/>
          </w:tcPr>
          <w:p w14:paraId="1717DCCB" w14:textId="67694A5F"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b/>
                <w:bCs/>
                <w:color w:val="000000" w:themeColor="text1"/>
              </w:rPr>
              <w:t>Poids</w:t>
            </w:r>
          </w:p>
        </w:tc>
      </w:tr>
      <w:tr w:rsidR="0041506A" w:rsidRPr="00F84794" w14:paraId="50CF66D8" w14:textId="77777777" w:rsidTr="0041506A">
        <w:tc>
          <w:tcPr>
            <w:tcW w:w="3325" w:type="dxa"/>
            <w:vAlign w:val="center"/>
          </w:tcPr>
          <w:p w14:paraId="462D7C99" w14:textId="4D571D4A"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Expérience et expertise pertinentes</w:t>
            </w:r>
          </w:p>
        </w:tc>
        <w:tc>
          <w:tcPr>
            <w:tcW w:w="3325" w:type="dxa"/>
            <w:vAlign w:val="center"/>
          </w:tcPr>
          <w:p w14:paraId="5A11E39B" w14:textId="220B869D"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30%</w:t>
            </w:r>
          </w:p>
        </w:tc>
      </w:tr>
      <w:tr w:rsidR="0041506A" w:rsidRPr="00F84794" w14:paraId="26C797DB" w14:textId="77777777" w:rsidTr="0041506A">
        <w:tc>
          <w:tcPr>
            <w:tcW w:w="3325" w:type="dxa"/>
            <w:vAlign w:val="center"/>
          </w:tcPr>
          <w:p w14:paraId="1BE7A10E" w14:textId="2F37E9A3"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Qualité de la proposition technique</w:t>
            </w:r>
          </w:p>
        </w:tc>
        <w:tc>
          <w:tcPr>
            <w:tcW w:w="3325" w:type="dxa"/>
            <w:vAlign w:val="center"/>
          </w:tcPr>
          <w:p w14:paraId="201A6896" w14:textId="0F0AD953"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30%</w:t>
            </w:r>
          </w:p>
        </w:tc>
      </w:tr>
      <w:tr w:rsidR="0041506A" w:rsidRPr="00F84794" w14:paraId="1C520AFA" w14:textId="77777777" w:rsidTr="0041506A">
        <w:tc>
          <w:tcPr>
            <w:tcW w:w="3325" w:type="dxa"/>
            <w:vAlign w:val="center"/>
          </w:tcPr>
          <w:p w14:paraId="7B16DDAB" w14:textId="2E400717"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Méthodologie et approche de la formation</w:t>
            </w:r>
          </w:p>
        </w:tc>
        <w:tc>
          <w:tcPr>
            <w:tcW w:w="3325" w:type="dxa"/>
            <w:vAlign w:val="center"/>
          </w:tcPr>
          <w:p w14:paraId="3742DF5C" w14:textId="695CD133"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25%</w:t>
            </w:r>
          </w:p>
        </w:tc>
      </w:tr>
      <w:tr w:rsidR="0041506A" w:rsidRPr="00F84794" w14:paraId="27AF2DA8" w14:textId="77777777" w:rsidTr="0041506A">
        <w:tc>
          <w:tcPr>
            <w:tcW w:w="3325" w:type="dxa"/>
            <w:vAlign w:val="center"/>
          </w:tcPr>
          <w:p w14:paraId="08FDC254" w14:textId="28D2752F"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proposition financière</w:t>
            </w:r>
          </w:p>
        </w:tc>
        <w:tc>
          <w:tcPr>
            <w:tcW w:w="3325" w:type="dxa"/>
            <w:vAlign w:val="center"/>
          </w:tcPr>
          <w:p w14:paraId="0A14CB0A" w14:textId="2CE655E1" w:rsidR="0041506A" w:rsidRPr="00F84794" w:rsidRDefault="0041506A" w:rsidP="0041506A">
            <w:pPr>
              <w:rPr>
                <w:rFonts w:ascii="Times New Roman" w:hAnsi="Times New Roman" w:cs="Times New Roman"/>
                <w:color w:val="000000" w:themeColor="text1"/>
              </w:rPr>
            </w:pPr>
            <w:r w:rsidRPr="00632E37">
              <w:rPr>
                <w:rFonts w:ascii="Times New Roman" w:hAnsi="Times New Roman" w:cs="Times New Roman"/>
                <w:color w:val="000000" w:themeColor="text1"/>
              </w:rPr>
              <w:t>15%</w:t>
            </w:r>
          </w:p>
        </w:tc>
      </w:tr>
    </w:tbl>
    <w:p w14:paraId="6C225F16" w14:textId="77777777" w:rsidR="0041506A" w:rsidRPr="00632E37" w:rsidRDefault="0041506A" w:rsidP="00632E37">
      <w:pPr>
        <w:rPr>
          <w:rFonts w:ascii="Times New Roman" w:hAnsi="Times New Roman" w:cs="Times New Roman"/>
          <w:color w:val="000000" w:themeColor="text1"/>
        </w:rPr>
      </w:pPr>
    </w:p>
    <w:p w14:paraId="3E56CCB3" w14:textId="77777777" w:rsidR="00632E37" w:rsidRPr="00632E37" w:rsidRDefault="00632E37" w:rsidP="00317EE5">
      <w:pPr>
        <w:jc w:val="both"/>
        <w:rPr>
          <w:rFonts w:ascii="Times New Roman" w:hAnsi="Times New Roman" w:cs="Times New Roman"/>
          <w:b/>
          <w:bCs/>
          <w:color w:val="000000" w:themeColor="text1"/>
        </w:rPr>
      </w:pPr>
      <w:r w:rsidRPr="00632E37">
        <w:rPr>
          <w:rFonts w:ascii="Times New Roman" w:hAnsi="Times New Roman" w:cs="Times New Roman"/>
          <w:b/>
          <w:bCs/>
          <w:color w:val="000000" w:themeColor="text1"/>
        </w:rPr>
        <w:t>10. Durée</w:t>
      </w:r>
    </w:p>
    <w:p w14:paraId="22F7C712"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La mission sera mise en œuvre sur une période de 3 à 4 mois, conformément au calendrier de mise en œuvre du projet de la Fondation Arcus, avec un niveau d'effort estimé à environ 40 jours ouvrables.</w:t>
      </w:r>
    </w:p>
    <w:p w14:paraId="169CC16D" w14:textId="77777777" w:rsidR="00632E37" w:rsidRPr="00632E37" w:rsidRDefault="00632E37" w:rsidP="00317EE5">
      <w:pPr>
        <w:jc w:val="both"/>
        <w:rPr>
          <w:rFonts w:ascii="Times New Roman" w:hAnsi="Times New Roman" w:cs="Times New Roman"/>
          <w:color w:val="000000" w:themeColor="text1"/>
        </w:rPr>
      </w:pPr>
      <w:r w:rsidRPr="00632E37">
        <w:rPr>
          <w:rFonts w:ascii="Times New Roman" w:hAnsi="Times New Roman" w:cs="Times New Roman"/>
          <w:color w:val="000000" w:themeColor="text1"/>
        </w:rPr>
        <w:t>La prestation de services de conseil se déroulera par phases, comprenant la phase de conception, l'élaboration du programme, la production de la boîte à outils, la mise en œuvre de la formation et la rédaction des rapports, et sera alignée sur le calendrier des activités du programme et la disponibilité des parties prenantes dans les pays sélectionnés abritant les grands singes.</w:t>
      </w:r>
    </w:p>
    <w:p w14:paraId="16B53BCE" w14:textId="4B8C2F2B" w:rsidR="00632E37" w:rsidRPr="00632E37" w:rsidRDefault="00632E37" w:rsidP="00632E37">
      <w:pPr>
        <w:rPr>
          <w:rFonts w:ascii="Times New Roman" w:hAnsi="Times New Roman" w:cs="Times New Roman"/>
          <w:color w:val="000000" w:themeColor="text1"/>
        </w:rPr>
      </w:pPr>
    </w:p>
    <w:p w14:paraId="41C41312"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11. Propriété intellectuelle</w:t>
      </w:r>
    </w:p>
    <w:p w14:paraId="1A1C6D16" w14:textId="77777777" w:rsidR="00632E37" w:rsidRPr="00632E37" w:rsidRDefault="00632E37" w:rsidP="00317EE5">
      <w:pPr>
        <w:jc w:val="both"/>
        <w:rPr>
          <w:rFonts w:ascii="Times New Roman" w:hAnsi="Times New Roman" w:cs="Times New Roman"/>
          <w:color w:val="000000" w:themeColor="text1"/>
        </w:rPr>
      </w:pPr>
      <w:bookmarkStart w:id="0" w:name="_GoBack"/>
      <w:r w:rsidRPr="00632E37">
        <w:rPr>
          <w:rFonts w:ascii="Times New Roman" w:hAnsi="Times New Roman" w:cs="Times New Roman"/>
          <w:color w:val="000000" w:themeColor="text1"/>
        </w:rPr>
        <w:t>L’ensemble des données, documents et livrables produits dans le cadre de cette mission de conseil demeurent la propriété d’AICA. Le consultant s’engage à ne pas divulguer ni utiliser ces documents à des fins autres que celles prévues par la présente mission sans autorisation écrite préalable.</w:t>
      </w:r>
    </w:p>
    <w:bookmarkEnd w:id="0"/>
    <w:p w14:paraId="4F91ACC6" w14:textId="5BFA6700" w:rsidR="00632E37" w:rsidRPr="00632E37" w:rsidRDefault="00632E37" w:rsidP="00632E37">
      <w:pPr>
        <w:rPr>
          <w:rFonts w:ascii="Times New Roman" w:hAnsi="Times New Roman" w:cs="Times New Roman"/>
          <w:color w:val="000000" w:themeColor="text1"/>
        </w:rPr>
      </w:pPr>
    </w:p>
    <w:p w14:paraId="229E0238" w14:textId="77777777" w:rsidR="00632E37" w:rsidRPr="00632E37" w:rsidRDefault="00632E37" w:rsidP="00632E37">
      <w:pPr>
        <w:rPr>
          <w:rFonts w:ascii="Times New Roman" w:hAnsi="Times New Roman" w:cs="Times New Roman"/>
          <w:b/>
          <w:bCs/>
          <w:color w:val="000000" w:themeColor="text1"/>
        </w:rPr>
      </w:pPr>
      <w:r w:rsidRPr="00632E37">
        <w:rPr>
          <w:rFonts w:ascii="Times New Roman" w:hAnsi="Times New Roman" w:cs="Times New Roman"/>
          <w:b/>
          <w:bCs/>
          <w:color w:val="000000" w:themeColor="text1"/>
        </w:rPr>
        <w:t>12. Processus de candidature</w:t>
      </w:r>
    </w:p>
    <w:p w14:paraId="22C7F377"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Les candidats intéressés doivent soumettre des propositions techniques et financières distinctes.</w:t>
      </w:r>
    </w:p>
    <w:p w14:paraId="6BD3DCE4" w14:textId="77777777" w:rsidR="00632E37" w:rsidRPr="00632E37" w:rsidRDefault="00632E37" w:rsidP="00632E37">
      <w:pPr>
        <w:numPr>
          <w:ilvl w:val="0"/>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La proposition technique doit comprendre :</w:t>
      </w:r>
    </w:p>
    <w:p w14:paraId="39CE0DAA"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Compréhension de la mission</w:t>
      </w:r>
    </w:p>
    <w:p w14:paraId="30EF0FE5"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Méthodologie et approche de formation proposées</w:t>
      </w:r>
    </w:p>
    <w:p w14:paraId="5E419590"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Plan de travail</w:t>
      </w:r>
    </w:p>
    <w:p w14:paraId="15139932"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lastRenderedPageBreak/>
        <w:t>Expérience et qualifications pertinentes</w:t>
      </w:r>
    </w:p>
    <w:p w14:paraId="2BE8CB83" w14:textId="77777777" w:rsidR="00632E37" w:rsidRPr="00632E37" w:rsidRDefault="00632E37" w:rsidP="00632E37">
      <w:pPr>
        <w:numPr>
          <w:ilvl w:val="1"/>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Au moins trois références vérifiables</w:t>
      </w:r>
    </w:p>
    <w:p w14:paraId="1CD42AD9" w14:textId="77777777" w:rsidR="00632E37" w:rsidRPr="00632E37" w:rsidRDefault="00632E37" w:rsidP="00632E37">
      <w:pPr>
        <w:numPr>
          <w:ilvl w:val="0"/>
          <w:numId w:val="14"/>
        </w:numPr>
        <w:rPr>
          <w:rFonts w:ascii="Times New Roman" w:hAnsi="Times New Roman" w:cs="Times New Roman"/>
          <w:color w:val="000000" w:themeColor="text1"/>
        </w:rPr>
      </w:pPr>
      <w:r w:rsidRPr="00632E37">
        <w:rPr>
          <w:rFonts w:ascii="Times New Roman" w:hAnsi="Times New Roman" w:cs="Times New Roman"/>
          <w:color w:val="000000" w:themeColor="text1"/>
        </w:rPr>
        <w:t>La proposition financière doit clairement indiquer le coût total, y compris toutes les taxes et dépenses applicables.</w:t>
      </w:r>
    </w:p>
    <w:p w14:paraId="127C7A89"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Les candidatures doivent être soumises soit :</w:t>
      </w:r>
    </w:p>
    <w:p w14:paraId="4C7599FC" w14:textId="77777777" w:rsidR="00632E37" w:rsidRPr="00632E37" w:rsidRDefault="00632E37" w:rsidP="00632E37">
      <w:pPr>
        <w:numPr>
          <w:ilvl w:val="0"/>
          <w:numId w:val="15"/>
        </w:numPr>
        <w:rPr>
          <w:rFonts w:ascii="Times New Roman" w:hAnsi="Times New Roman" w:cs="Times New Roman"/>
          <w:color w:val="000000" w:themeColor="text1"/>
        </w:rPr>
      </w:pPr>
      <w:r w:rsidRPr="00632E37">
        <w:rPr>
          <w:rFonts w:ascii="Times New Roman" w:hAnsi="Times New Roman" w:cs="Times New Roman"/>
          <w:color w:val="000000" w:themeColor="text1"/>
        </w:rPr>
        <w:t xml:space="preserve">Envoyer par courrier sous pli scellé à l'adresse suivante : </w:t>
      </w:r>
      <w:r w:rsidRPr="00632E37">
        <w:rPr>
          <w:rFonts w:ascii="Times New Roman" w:hAnsi="Times New Roman" w:cs="Times New Roman"/>
          <w:color w:val="000000" w:themeColor="text1"/>
        </w:rPr>
        <w:br/>
        <w:t>7, rue Rossini, Pelican Square, bloc B, Windhoek Ouest</w:t>
      </w:r>
    </w:p>
    <w:p w14:paraId="56A12592" w14:textId="77777777"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OU</w:t>
      </w:r>
    </w:p>
    <w:p w14:paraId="7F2B47BF" w14:textId="77777777" w:rsidR="00632E37" w:rsidRPr="00632E37" w:rsidRDefault="00632E37" w:rsidP="00632E37">
      <w:pPr>
        <w:numPr>
          <w:ilvl w:val="0"/>
          <w:numId w:val="16"/>
        </w:numPr>
        <w:rPr>
          <w:rFonts w:ascii="Times New Roman" w:hAnsi="Times New Roman" w:cs="Times New Roman"/>
          <w:color w:val="000000" w:themeColor="text1"/>
        </w:rPr>
      </w:pPr>
      <w:r w:rsidRPr="00632E37">
        <w:rPr>
          <w:rFonts w:ascii="Times New Roman" w:hAnsi="Times New Roman" w:cs="Times New Roman"/>
          <w:color w:val="000000" w:themeColor="text1"/>
        </w:rPr>
        <w:t>Par voie électronique, par courriel, avec des lignes d'objet :</w:t>
      </w:r>
    </w:p>
    <w:p w14:paraId="3A6C784D" w14:textId="77777777" w:rsidR="00632E37" w:rsidRPr="00632E37" w:rsidRDefault="00632E37" w:rsidP="00632E37">
      <w:pPr>
        <w:numPr>
          <w:ilvl w:val="1"/>
          <w:numId w:val="16"/>
        </w:numPr>
        <w:rPr>
          <w:rFonts w:ascii="Times New Roman" w:hAnsi="Times New Roman" w:cs="Times New Roman"/>
          <w:color w:val="000000" w:themeColor="text1"/>
        </w:rPr>
      </w:pPr>
      <w:r w:rsidRPr="00632E37">
        <w:rPr>
          <w:rFonts w:ascii="Times New Roman" w:hAnsi="Times New Roman" w:cs="Times New Roman"/>
          <w:b/>
          <w:bCs/>
          <w:color w:val="000000" w:themeColor="text1"/>
        </w:rPr>
        <w:t>« Proposition technique – Services de conseil en formation et renforcement des capacités »</w:t>
      </w:r>
    </w:p>
    <w:p w14:paraId="6E4FFD02" w14:textId="77777777" w:rsidR="00632E37" w:rsidRPr="00632E37" w:rsidRDefault="00632E37" w:rsidP="00632E37">
      <w:pPr>
        <w:numPr>
          <w:ilvl w:val="1"/>
          <w:numId w:val="16"/>
        </w:numPr>
        <w:rPr>
          <w:rFonts w:ascii="Times New Roman" w:hAnsi="Times New Roman" w:cs="Times New Roman"/>
          <w:color w:val="000000" w:themeColor="text1"/>
        </w:rPr>
      </w:pPr>
      <w:r w:rsidRPr="00632E37">
        <w:rPr>
          <w:rFonts w:ascii="Times New Roman" w:hAnsi="Times New Roman" w:cs="Times New Roman"/>
          <w:b/>
          <w:bCs/>
          <w:color w:val="000000" w:themeColor="text1"/>
        </w:rPr>
        <w:t>« Proposition financière – Prestation de conseil en formation et renforcement des capacités »</w:t>
      </w:r>
    </w:p>
    <w:p w14:paraId="0DAA2A2B" w14:textId="31CC9864"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color w:val="000000" w:themeColor="text1"/>
        </w:rPr>
        <w:t xml:space="preserve">Envoyé à : </w:t>
      </w:r>
      <w:r w:rsidRPr="00632E37">
        <w:rPr>
          <w:rFonts w:ascii="Times New Roman" w:hAnsi="Times New Roman" w:cs="Times New Roman"/>
          <w:color w:val="000000" w:themeColor="text1"/>
        </w:rPr>
        <w:br/>
      </w:r>
      <w:hyperlink r:id="rId12" w:history="1">
        <w:r w:rsidR="0041506A" w:rsidRPr="00632E37">
          <w:rPr>
            <w:rStyle w:val="Lienhypertexte"/>
            <w:rFonts w:ascii="Times New Roman" w:hAnsi="Times New Roman" w:cs="Times New Roman"/>
            <w:color w:val="000000" w:themeColor="text1"/>
          </w:rPr>
          <w:t xml:space="preserve">secretariat@aica-africa.org </w:t>
        </w:r>
      </w:hyperlink>
      <w:r w:rsidRPr="00632E37">
        <w:rPr>
          <w:rFonts w:ascii="Times New Roman" w:hAnsi="Times New Roman" w:cs="Times New Roman"/>
          <w:color w:val="000000" w:themeColor="text1"/>
        </w:rPr>
        <w:br/>
        <w:t>Copie</w:t>
      </w:r>
      <w:r w:rsidR="0041506A" w:rsidRPr="00F84794">
        <w:rPr>
          <w:rFonts w:ascii="Times New Roman" w:hAnsi="Times New Roman" w:cs="Times New Roman"/>
          <w:color w:val="000000" w:themeColor="text1"/>
        </w:rPr>
        <w:t xml:space="preserve"> </w:t>
      </w:r>
      <w:hyperlink r:id="rId13" w:history="1">
        <w:r w:rsidR="0041506A" w:rsidRPr="00F84794">
          <w:rPr>
            <w:rStyle w:val="Lienhypertexte"/>
            <w:rFonts w:ascii="Times New Roman" w:hAnsi="Times New Roman" w:cs="Times New Roman"/>
            <w:color w:val="000000" w:themeColor="text1"/>
          </w:rPr>
          <w:t>info@communityln.org</w:t>
        </w:r>
      </w:hyperlink>
      <w:r w:rsidR="0041506A" w:rsidRPr="00F84794">
        <w:rPr>
          <w:rFonts w:ascii="Times New Roman" w:hAnsi="Times New Roman" w:cs="Times New Roman"/>
          <w:color w:val="000000" w:themeColor="text1"/>
        </w:rPr>
        <w:t xml:space="preserve"> </w:t>
      </w:r>
    </w:p>
    <w:p w14:paraId="54207196" w14:textId="1048DE32" w:rsidR="00632E37" w:rsidRPr="00632E37" w:rsidRDefault="00632E37" w:rsidP="00632E37">
      <w:pPr>
        <w:rPr>
          <w:rFonts w:ascii="Times New Roman" w:hAnsi="Times New Roman" w:cs="Times New Roman"/>
          <w:color w:val="000000" w:themeColor="text1"/>
        </w:rPr>
      </w:pPr>
      <w:r w:rsidRPr="00632E37">
        <w:rPr>
          <w:rFonts w:ascii="Times New Roman" w:hAnsi="Times New Roman" w:cs="Times New Roman"/>
          <w:b/>
          <w:bCs/>
          <w:color w:val="000000" w:themeColor="text1"/>
        </w:rPr>
        <w:t>Date limite:</w:t>
      </w:r>
      <w:r w:rsidRPr="00632E37">
        <w:rPr>
          <w:rFonts w:ascii="Times New Roman" w:hAnsi="Times New Roman" w:cs="Times New Roman"/>
          <w:color w:val="000000" w:themeColor="text1"/>
        </w:rPr>
        <w:t xml:space="preserve"> </w:t>
      </w:r>
      <w:r w:rsidR="0041506A" w:rsidRPr="00F84794">
        <w:rPr>
          <w:rFonts w:ascii="Times New Roman" w:hAnsi="Times New Roman" w:cs="Times New Roman"/>
          <w:b/>
          <w:bCs/>
          <w:color w:val="000000" w:themeColor="text1"/>
        </w:rPr>
        <w:t>XXXXXXXX 2026 à 17h00 CAT</w:t>
      </w:r>
    </w:p>
    <w:p w14:paraId="7FA54DC0" w14:textId="77777777" w:rsidR="00632E37" w:rsidRPr="00F84794" w:rsidRDefault="00632E37">
      <w:pPr>
        <w:rPr>
          <w:rFonts w:ascii="Times New Roman" w:hAnsi="Times New Roman" w:cs="Times New Roman"/>
          <w:color w:val="000000" w:themeColor="text1"/>
        </w:rPr>
      </w:pPr>
    </w:p>
    <w:sectPr w:rsidR="00632E37" w:rsidRPr="00F84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190"/>
    <w:multiLevelType w:val="multilevel"/>
    <w:tmpl w:val="73AE5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10C24"/>
    <w:multiLevelType w:val="multilevel"/>
    <w:tmpl w:val="F6FE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F641A"/>
    <w:multiLevelType w:val="multilevel"/>
    <w:tmpl w:val="1BB4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303A2"/>
    <w:multiLevelType w:val="multilevel"/>
    <w:tmpl w:val="39328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24A0C"/>
    <w:multiLevelType w:val="multilevel"/>
    <w:tmpl w:val="C76AD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44A25"/>
    <w:multiLevelType w:val="multilevel"/>
    <w:tmpl w:val="410CC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106B6C"/>
    <w:multiLevelType w:val="multilevel"/>
    <w:tmpl w:val="D15EC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76A5C"/>
    <w:multiLevelType w:val="multilevel"/>
    <w:tmpl w:val="1F36A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D57B02"/>
    <w:multiLevelType w:val="multilevel"/>
    <w:tmpl w:val="BAD2A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1475A"/>
    <w:multiLevelType w:val="multilevel"/>
    <w:tmpl w:val="2DD4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9A015C"/>
    <w:multiLevelType w:val="multilevel"/>
    <w:tmpl w:val="989C1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F0FDF"/>
    <w:multiLevelType w:val="multilevel"/>
    <w:tmpl w:val="3886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0C064B"/>
    <w:multiLevelType w:val="multilevel"/>
    <w:tmpl w:val="31A88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A56E2"/>
    <w:multiLevelType w:val="multilevel"/>
    <w:tmpl w:val="C4301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5E61A6"/>
    <w:multiLevelType w:val="multilevel"/>
    <w:tmpl w:val="B9D83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7665FE"/>
    <w:multiLevelType w:val="multilevel"/>
    <w:tmpl w:val="26DC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756FDF"/>
    <w:multiLevelType w:val="multilevel"/>
    <w:tmpl w:val="FC18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E6F89"/>
    <w:multiLevelType w:val="multilevel"/>
    <w:tmpl w:val="3018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4"/>
  </w:num>
  <w:num w:numId="3">
    <w:abstractNumId w:val="11"/>
  </w:num>
  <w:num w:numId="4">
    <w:abstractNumId w:val="0"/>
  </w:num>
  <w:num w:numId="5">
    <w:abstractNumId w:val="12"/>
  </w:num>
  <w:num w:numId="6">
    <w:abstractNumId w:val="5"/>
  </w:num>
  <w:num w:numId="7">
    <w:abstractNumId w:val="4"/>
  </w:num>
  <w:num w:numId="8">
    <w:abstractNumId w:val="7"/>
  </w:num>
  <w:num w:numId="9">
    <w:abstractNumId w:val="15"/>
  </w:num>
  <w:num w:numId="10">
    <w:abstractNumId w:val="17"/>
  </w:num>
  <w:num w:numId="11">
    <w:abstractNumId w:val="3"/>
  </w:num>
  <w:num w:numId="12">
    <w:abstractNumId w:val="16"/>
  </w:num>
  <w:num w:numId="13">
    <w:abstractNumId w:val="1"/>
  </w:num>
  <w:num w:numId="14">
    <w:abstractNumId w:val="6"/>
  </w:num>
  <w:num w:numId="15">
    <w:abstractNumId w:val="2"/>
  </w:num>
  <w:num w:numId="16">
    <w:abstractNumId w:val="8"/>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37"/>
    <w:rsid w:val="00317EE5"/>
    <w:rsid w:val="0041506A"/>
    <w:rsid w:val="00632E37"/>
    <w:rsid w:val="007A4885"/>
    <w:rsid w:val="00F8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A539"/>
  <w15:chartTrackingRefBased/>
  <w15:docId w15:val="{B2B6960C-0D9D-4F75-A041-C914959B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32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32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32E3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32E3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32E3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32E3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32E3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32E3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32E3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2E3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32E3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32E3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32E3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32E3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32E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32E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32E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32E37"/>
    <w:rPr>
      <w:rFonts w:eastAsiaTheme="majorEastAsia" w:cstheme="majorBidi"/>
      <w:color w:val="272727" w:themeColor="text1" w:themeTint="D8"/>
    </w:rPr>
  </w:style>
  <w:style w:type="paragraph" w:styleId="Titre">
    <w:name w:val="Title"/>
    <w:basedOn w:val="Normal"/>
    <w:next w:val="Normal"/>
    <w:link w:val="TitreCar"/>
    <w:uiPriority w:val="10"/>
    <w:qFormat/>
    <w:rsid w:val="00632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32E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32E3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32E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32E37"/>
    <w:pPr>
      <w:spacing w:before="160"/>
      <w:jc w:val="center"/>
    </w:pPr>
    <w:rPr>
      <w:i/>
      <w:iCs/>
      <w:color w:val="404040" w:themeColor="text1" w:themeTint="BF"/>
    </w:rPr>
  </w:style>
  <w:style w:type="character" w:customStyle="1" w:styleId="CitationCar">
    <w:name w:val="Citation Car"/>
    <w:basedOn w:val="Policepardfaut"/>
    <w:link w:val="Citation"/>
    <w:uiPriority w:val="29"/>
    <w:rsid w:val="00632E37"/>
    <w:rPr>
      <w:i/>
      <w:iCs/>
      <w:color w:val="404040" w:themeColor="text1" w:themeTint="BF"/>
    </w:rPr>
  </w:style>
  <w:style w:type="paragraph" w:styleId="Paragraphedeliste">
    <w:name w:val="List Paragraph"/>
    <w:basedOn w:val="Normal"/>
    <w:uiPriority w:val="34"/>
    <w:qFormat/>
    <w:rsid w:val="00632E37"/>
    <w:pPr>
      <w:ind w:left="720"/>
      <w:contextualSpacing/>
    </w:pPr>
  </w:style>
  <w:style w:type="character" w:styleId="Emphaseintense">
    <w:name w:val="Intense Emphasis"/>
    <w:basedOn w:val="Policepardfaut"/>
    <w:uiPriority w:val="21"/>
    <w:qFormat/>
    <w:rsid w:val="00632E37"/>
    <w:rPr>
      <w:i/>
      <w:iCs/>
      <w:color w:val="0F4761" w:themeColor="accent1" w:themeShade="BF"/>
    </w:rPr>
  </w:style>
  <w:style w:type="paragraph" w:styleId="Citationintense">
    <w:name w:val="Intense Quote"/>
    <w:basedOn w:val="Normal"/>
    <w:next w:val="Normal"/>
    <w:link w:val="CitationintenseCar"/>
    <w:uiPriority w:val="30"/>
    <w:qFormat/>
    <w:rsid w:val="00632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32E37"/>
    <w:rPr>
      <w:i/>
      <w:iCs/>
      <w:color w:val="0F4761" w:themeColor="accent1" w:themeShade="BF"/>
    </w:rPr>
  </w:style>
  <w:style w:type="character" w:styleId="Rfrenceintense">
    <w:name w:val="Intense Reference"/>
    <w:basedOn w:val="Policepardfaut"/>
    <w:uiPriority w:val="32"/>
    <w:qFormat/>
    <w:rsid w:val="00632E37"/>
    <w:rPr>
      <w:b/>
      <w:bCs/>
      <w:smallCaps/>
      <w:color w:val="0F4761" w:themeColor="accent1" w:themeShade="BF"/>
      <w:spacing w:val="5"/>
    </w:rPr>
  </w:style>
  <w:style w:type="character" w:styleId="Lienhypertexte">
    <w:name w:val="Hyperlink"/>
    <w:basedOn w:val="Policepardfaut"/>
    <w:uiPriority w:val="99"/>
    <w:unhideWhenUsed/>
    <w:rsid w:val="00632E37"/>
    <w:rPr>
      <w:color w:val="467886" w:themeColor="hyperlink"/>
      <w:u w:val="single"/>
    </w:rPr>
  </w:style>
  <w:style w:type="character" w:customStyle="1" w:styleId="UnresolvedMention">
    <w:name w:val="Unresolved Mention"/>
    <w:basedOn w:val="Policepardfaut"/>
    <w:uiPriority w:val="99"/>
    <w:semiHidden/>
    <w:unhideWhenUsed/>
    <w:rsid w:val="00632E37"/>
    <w:rPr>
      <w:color w:val="605E5C"/>
      <w:shd w:val="clear" w:color="auto" w:fill="E1DFDD"/>
    </w:rPr>
  </w:style>
  <w:style w:type="table" w:styleId="Grilledutableau">
    <w:name w:val="Table Grid"/>
    <w:basedOn w:val="TableauNormal"/>
    <w:uiPriority w:val="39"/>
    <w:rsid w:val="00415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info@communityln.or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secretariat@aica-afri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1526</Words>
  <Characters>8398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Bupe Banda</dc:creator>
  <cp:keywords/>
  <dc:description/>
  <cp:lastModifiedBy>Frank KAKIRANIA</cp:lastModifiedBy>
  <cp:revision>2</cp:revision>
  <dcterms:created xsi:type="dcterms:W3CDTF">2026-04-08T21:17:00Z</dcterms:created>
  <dcterms:modified xsi:type="dcterms:W3CDTF">2026-07-20T06:11:00Z</dcterms:modified>
</cp:coreProperties>
</file>